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484" w:type="dxa"/>
        <w:tblInd w:w="-2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84"/>
      </w:tblGrid>
      <w:tr w:rsidR="005966D1" w:rsidRPr="008942CB" w:rsidTr="005966D1">
        <w:trPr>
          <w:trHeight w:hRule="exact" w:val="1136"/>
        </w:trPr>
        <w:tc>
          <w:tcPr>
            <w:tcW w:w="11243" w:type="dxa"/>
            <w:shd w:val="clear" w:color="auto" w:fill="auto"/>
          </w:tcPr>
          <w:p w:rsidR="005966D1" w:rsidRPr="008942CB" w:rsidRDefault="005966D1" w:rsidP="0008572E">
            <w:pPr>
              <w:ind w:left="851"/>
            </w:pPr>
          </w:p>
        </w:tc>
      </w:tr>
      <w:tr w:rsidR="005966D1" w:rsidRPr="008942CB" w:rsidTr="000C5B60">
        <w:trPr>
          <w:trHeight w:hRule="exact" w:val="8959"/>
        </w:trPr>
        <w:tc>
          <w:tcPr>
            <w:tcW w:w="11243" w:type="dxa"/>
            <w:shd w:val="clear" w:color="auto" w:fill="F1B434" w:themeFill="text2"/>
          </w:tcPr>
          <w:p w:rsidR="005966D1" w:rsidRPr="008942CB" w:rsidRDefault="005966D1" w:rsidP="0008572E">
            <w:pPr>
              <w:ind w:left="851"/>
            </w:pPr>
          </w:p>
          <w:p w:rsidR="00B0715B" w:rsidRDefault="00074EAB" w:rsidP="00EF4910">
            <w:pPr>
              <w:pStyle w:val="Documenttitle"/>
            </w:pPr>
            <w:bookmarkStart w:id="0" w:name="title"/>
            <w:bookmarkEnd w:id="0"/>
            <w:r>
              <w:t>Budget 2021</w:t>
            </w:r>
          </w:p>
          <w:p w:rsidR="00074EAB" w:rsidRPr="00074EAB" w:rsidRDefault="00074EAB" w:rsidP="00074EAB">
            <w:pPr>
              <w:pStyle w:val="Documentsubtitle"/>
            </w:pPr>
            <w:r>
              <w:t>BSA Submission – Additional Information</w:t>
            </w:r>
          </w:p>
          <w:p w:rsidR="00074EAB" w:rsidRDefault="00074EAB" w:rsidP="00074EAB">
            <w:pPr>
              <w:pStyle w:val="Documentsubtitle"/>
            </w:pPr>
          </w:p>
          <w:p w:rsidR="00074EAB" w:rsidRDefault="00074EAB" w:rsidP="00074EAB">
            <w:pPr>
              <w:pStyle w:val="Documentstatus"/>
            </w:pPr>
            <w:r>
              <w:t>Restricted</w:t>
            </w:r>
          </w:p>
          <w:p w:rsidR="00074EAB" w:rsidRPr="00074EAB" w:rsidRDefault="00074EAB" w:rsidP="00074EAB">
            <w:pPr>
              <w:pStyle w:val="Documentdate"/>
            </w:pPr>
            <w:r>
              <w:t>30 September 2021</w:t>
            </w:r>
          </w:p>
        </w:tc>
      </w:tr>
      <w:tr w:rsidR="005966D1" w:rsidRPr="008942CB" w:rsidTr="000C5B60">
        <w:trPr>
          <w:trHeight w:hRule="exact" w:val="1588"/>
        </w:trPr>
        <w:tc>
          <w:tcPr>
            <w:tcW w:w="11243" w:type="dxa"/>
            <w:shd w:val="clear" w:color="auto" w:fill="F1B434" w:themeFill="text2"/>
            <w:vAlign w:val="center"/>
          </w:tcPr>
          <w:p w:rsidR="005966D1" w:rsidRPr="008942CB" w:rsidRDefault="00A965F2" w:rsidP="0008572E">
            <w:pPr>
              <w:ind w:left="851"/>
            </w:pPr>
            <w:r w:rsidRPr="00A965F2">
              <w:rPr>
                <w:noProof/>
                <w:lang w:eastAsia="en-GB"/>
              </w:rPr>
              <w:drawing>
                <wp:inline distT="0" distB="0" distL="0" distR="0" wp14:anchorId="063674FC" wp14:editId="7232903B">
                  <wp:extent cx="2032560" cy="361621"/>
                  <wp:effectExtent l="0" t="0" r="6350" b="635"/>
                  <wp:docPr id="8" name="Picture 7">
                    <a:extLst xmlns:a="http://schemas.openxmlformats.org/drawingml/2006/main">
                      <a:ext uri="{FF2B5EF4-FFF2-40B4-BE49-F238E27FC236}">
                        <a16:creationId xmlns:a16="http://schemas.microsoft.com/office/drawing/2014/main" id="{C3867ECD-2173-4D4F-83FD-E882C8A911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C3867ECD-2173-4D4F-83FD-E882C8A9118A}"/>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32560" cy="361621"/>
                          </a:xfrm>
                          <a:prstGeom prst="rect">
                            <a:avLst/>
                          </a:prstGeom>
                        </pic:spPr>
                      </pic:pic>
                    </a:graphicData>
                  </a:graphic>
                </wp:inline>
              </w:drawing>
            </w:r>
          </w:p>
        </w:tc>
      </w:tr>
    </w:tbl>
    <w:p w:rsidR="004E7D28" w:rsidRPr="008942CB" w:rsidRDefault="004E7D28"/>
    <w:p w:rsidR="003114C2" w:rsidRPr="008942CB" w:rsidRDefault="003114C2"/>
    <w:p w:rsidR="003114C2" w:rsidRPr="008942CB" w:rsidRDefault="003114C2">
      <w:pPr>
        <w:sectPr w:rsidR="003114C2" w:rsidRPr="008942CB" w:rsidSect="003114C2">
          <w:pgSz w:w="11906" w:h="16838" w:code="9"/>
          <w:pgMar w:top="851" w:right="851" w:bottom="1418" w:left="2580" w:header="567" w:footer="567" w:gutter="0"/>
          <w:cols w:space="708"/>
          <w:docGrid w:linePitch="360"/>
        </w:sectPr>
      </w:pPr>
    </w:p>
    <w:p w:rsidR="0076614E" w:rsidRPr="008942CB" w:rsidRDefault="00074EAB" w:rsidP="009C0A07">
      <w:pPr>
        <w:pStyle w:val="Heading1"/>
      </w:pPr>
      <w:r>
        <w:lastRenderedPageBreak/>
        <w:t>Corporation tax/Banking surcharge</w:t>
      </w:r>
    </w:p>
    <w:p w:rsidR="00074EAB" w:rsidRPr="00E8171B" w:rsidRDefault="00074EAB" w:rsidP="00074EAB">
      <w:r w:rsidRPr="00E8171B">
        <w:t>UK banks (and building societies) already pay more tax than their peers.  The tax burden is set to rise, as it is for all sectors, with the increase in corporation tax from 19 to 25% and higher national insurance charges.   Larger banking institutions pay a surcharge of 8% on top suggesting that from April 2023 their combined tax rate could hit 33%.</w:t>
      </w:r>
    </w:p>
    <w:p w:rsidR="00074EAB" w:rsidRDefault="00074EAB" w:rsidP="00074EAB">
      <w:r w:rsidRPr="00E8171B">
        <w:t xml:space="preserve">The Chancellor’s Spring Budget commitment to </w:t>
      </w:r>
      <w:r>
        <w:t>‘</w:t>
      </w:r>
      <w:r w:rsidRPr="00E8171B">
        <w:t>a review to ensure the combined rate is not significantly higher for financial services than it is now</w:t>
      </w:r>
      <w:r>
        <w:t>’</w:t>
      </w:r>
      <w:r w:rsidRPr="00E8171B">
        <w:t xml:space="preserve"> was very welcome.  The unanswered  q</w:t>
      </w:r>
      <w:r>
        <w:t xml:space="preserve">uestion is what is ‘significant’. </w:t>
      </w:r>
    </w:p>
    <w:p w:rsidR="00074EAB" w:rsidRDefault="00074EAB" w:rsidP="00074EAB">
      <w:r>
        <w:t>Recognition</w:t>
      </w:r>
      <w:r w:rsidRPr="00BC07A1">
        <w:t xml:space="preserve"> that the level of taxation of banks in the UK would </w:t>
      </w:r>
      <w:r>
        <w:t>result in lower competitiveness</w:t>
      </w:r>
      <w:r w:rsidRPr="00BC07A1">
        <w:t xml:space="preserve"> with their international counterparts and damage one of the UK’s key exports</w:t>
      </w:r>
      <w:r>
        <w:t xml:space="preserve"> is welcome</w:t>
      </w:r>
      <w:r w:rsidRPr="00BC07A1">
        <w:t xml:space="preserve">.  The banking/ financial services sector will play a major part of generating credit for growth, including in underserved markets, as the UK economy starts to recover from </w:t>
      </w:r>
      <w:r>
        <w:t>multiple lockdowns and restrictions</w:t>
      </w:r>
      <w:r w:rsidRPr="00BC07A1">
        <w:t xml:space="preserve">.  </w:t>
      </w:r>
      <w:r>
        <w:t>Banks (and building societies)</w:t>
      </w:r>
      <w:r w:rsidRPr="00BC07A1">
        <w:t xml:space="preserve"> will need all the help they can get to ensure that they are able to take on this task without loss of investment or pricing themselves out of the market.  </w:t>
      </w:r>
    </w:p>
    <w:p w:rsidR="00074EAB" w:rsidRDefault="00074EAB" w:rsidP="00074EAB">
      <w:r w:rsidRPr="00E8171B">
        <w:t>We believe that higher corporation tax should be a cue to cut, or even abolish, sectoral charges.</w:t>
      </w:r>
      <w:r>
        <w:t xml:space="preserve"> </w:t>
      </w:r>
      <w:r w:rsidRPr="00E8171B">
        <w:t>When the surcharge was launched, it was intended to ensure that</w:t>
      </w:r>
      <w:r>
        <w:t xml:space="preserve"> ‘</w:t>
      </w:r>
      <w:r w:rsidRPr="00D35251">
        <w:t>banks […] continue to make a fair contribution in respect of the potential risks they pose to the UK fin</w:t>
      </w:r>
      <w:r>
        <w:t>ancial system and wider economy’</w:t>
      </w:r>
      <w:r>
        <w:rPr>
          <w:rStyle w:val="FootnoteReference"/>
        </w:rPr>
        <w:footnoteReference w:id="1"/>
      </w:r>
      <w:r>
        <w:t>.</w:t>
      </w:r>
      <w:r w:rsidRPr="00E8171B">
        <w:t xml:space="preserve"> The sector had now addressed most of these risks through other regulatory means (e.g. capital, liquidity, operational), evidenced by its survival through lockdowns when</w:t>
      </w:r>
      <w:r>
        <w:t xml:space="preserve"> other sectors have struggled.</w:t>
      </w:r>
    </w:p>
    <w:p w:rsidR="00074EAB" w:rsidRDefault="00074EAB" w:rsidP="00074EAB">
      <w:r>
        <w:t xml:space="preserve">A side issue – but relevant to many – is the decision to stagger the increase in corporation tax and potential decrease in the banking surcharge.  This will create </w:t>
      </w:r>
      <w:r w:rsidRPr="00F87442">
        <w:t>difficulties for investor relations in terms of tax accounting impacts</w:t>
      </w:r>
      <w:r>
        <w:t>: significant increases</w:t>
      </w:r>
      <w:r w:rsidRPr="00F87442">
        <w:t xml:space="preserve"> </w:t>
      </w:r>
      <w:r>
        <w:t>in deferred tax assets/ liabilities now followed by significant decreases in deferred tax assets/ liabilities next year.</w:t>
      </w:r>
    </w:p>
    <w:p w:rsidR="00074EAB" w:rsidRDefault="00074EAB" w:rsidP="00074EAB">
      <w:pPr>
        <w:pStyle w:val="Heading1"/>
      </w:pPr>
      <w:r>
        <w:t>Support for Mortgage Interest</w:t>
      </w:r>
    </w:p>
    <w:p w:rsidR="00074EAB" w:rsidRPr="00074EAB" w:rsidRDefault="00074EAB" w:rsidP="00074EAB">
      <w:pPr>
        <w:pStyle w:val="ListNumber"/>
        <w:rPr>
          <w:b/>
          <w:bCs/>
        </w:rPr>
      </w:pPr>
      <w:r w:rsidRPr="00074EAB">
        <w:rPr>
          <w:b/>
        </w:rPr>
        <w:t>Reduce the waiting time to access Support for Mortgage Interest</w:t>
      </w:r>
    </w:p>
    <w:p w:rsidR="00074EAB" w:rsidRDefault="00074EAB" w:rsidP="00074EAB">
      <w:r>
        <w:t>Research</w:t>
      </w:r>
      <w:r>
        <w:rPr>
          <w:rStyle w:val="FootnoteReference"/>
        </w:rPr>
        <w:footnoteReference w:id="2"/>
      </w:r>
      <w:r>
        <w:t xml:space="preserve"> suggests that only 30% of households have enough savings to pay their mortgage for two months, but the wait time for those eligible to claim Support for Mortgage Interest (SMI) is currently nine months. This means homeowners could accumulate more than six months arrears before they receive much-needed support making it significantly harder to manage and resolve their financial difficulties. </w:t>
      </w:r>
      <w:r>
        <w:rPr>
          <w:lang w:eastAsia="en-GB"/>
        </w:rPr>
        <w:t xml:space="preserve">Reducing the waiting time </w:t>
      </w:r>
      <w:r>
        <w:t>to 13 weeks, as it was after the last financial crisis could make a real difference to their financial circumstances and would be significantly cheaper than housing benefit</w:t>
      </w:r>
      <w:r>
        <w:rPr>
          <w:rStyle w:val="FootnoteReference"/>
        </w:rPr>
        <w:footnoteReference w:id="3"/>
      </w:r>
      <w:r>
        <w:t>.</w:t>
      </w:r>
    </w:p>
    <w:p w:rsidR="00074EAB" w:rsidRDefault="00074EAB" w:rsidP="00074EAB">
      <w:pPr>
        <w:pStyle w:val="ListNumber"/>
        <w:rPr>
          <w:b/>
        </w:rPr>
      </w:pPr>
      <w:r w:rsidRPr="00074EAB">
        <w:rPr>
          <w:b/>
        </w:rPr>
        <w:t>Extend support to homeowners on reduced income</w:t>
      </w:r>
    </w:p>
    <w:p w:rsidR="00074EAB" w:rsidRDefault="00074EAB" w:rsidP="00074EAB">
      <w:r>
        <w:t xml:space="preserve">People must receive benefits such as Jobseeker’s Allowance (JSA) or Universal Credit (UC) to be eligible for SMI. But as people move from JSA to UC the zero-earnings rule means they are no longer able to get SMI if they receive any income from work. </w:t>
      </w:r>
    </w:p>
    <w:p w:rsidR="00074EAB" w:rsidRDefault="00074EAB" w:rsidP="00074EAB">
      <w:r>
        <w:lastRenderedPageBreak/>
        <w:t xml:space="preserve">Changing eligibility to include those who are experiencing reduced income is not about keeping people in homes they can’t afford. It provides them with time to reassess their financial position and sell their property if necessary, whilst avoiding the trauma of repossession. Repossession is also likely to have a negative impact on an individual’s credit rating, causing further long-term financial consequences. </w:t>
      </w:r>
    </w:p>
    <w:p w:rsidR="00074EAB" w:rsidRDefault="00074EAB" w:rsidP="00074EAB">
      <w:r>
        <w:t>One in ten</w:t>
      </w:r>
      <w:r>
        <w:rPr>
          <w:rStyle w:val="FootnoteReference"/>
        </w:rPr>
        <w:footnoteReference w:id="4"/>
      </w:r>
      <w:r>
        <w:t xml:space="preserve"> homeowners said it was difficult to keep up mortgage payments in the last year, with the top reasons including being furloughed or on reduced pay (34 per cent) and working fewer hours (31 per cent). </w:t>
      </w:r>
    </w:p>
    <w:p w:rsidR="00074EAB" w:rsidRDefault="00074EAB" w:rsidP="00074EAB">
      <w:pPr>
        <w:rPr>
          <w:lang w:eastAsia="en-GB"/>
        </w:rPr>
      </w:pPr>
      <w:r>
        <w:t xml:space="preserve">We are calling for the zero-earnings rule to be removed from the UC SMI eligibility criteria, so that people can work up to 16 hours a week without it affecting their SMI claim. </w:t>
      </w:r>
      <w:r>
        <w:rPr>
          <w:lang w:eastAsia="en-GB"/>
        </w:rPr>
        <w:t xml:space="preserve">In addition, as SMI is a loan not a benefit, it does not need to be treated like other UC payments. </w:t>
      </w:r>
    </w:p>
    <w:p w:rsidR="00074EAB" w:rsidRPr="00074EAB" w:rsidRDefault="00074EAB" w:rsidP="00074EAB"/>
    <w:p w:rsidR="004D4148" w:rsidRPr="00074EAB" w:rsidRDefault="004D4148" w:rsidP="00074EAB">
      <w:r w:rsidRPr="00074EAB">
        <w:br w:type="page"/>
      </w:r>
    </w:p>
    <w:p w:rsidR="002D7358" w:rsidRPr="008942CB" w:rsidRDefault="002D7358" w:rsidP="00D87F11">
      <w:pPr>
        <w:sectPr w:rsidR="002D7358" w:rsidRPr="008942CB" w:rsidSect="008320AB">
          <w:footerReference w:type="even" r:id="rId9"/>
          <w:footerReference w:type="default" r:id="rId10"/>
          <w:pgSz w:w="11906" w:h="16838" w:code="9"/>
          <w:pgMar w:top="851" w:right="851" w:bottom="1418" w:left="2580" w:header="567" w:footer="284" w:gutter="0"/>
          <w:cols w:space="227"/>
          <w:docGrid w:linePitch="360"/>
        </w:sectPr>
      </w:pPr>
      <w:bookmarkStart w:id="1" w:name="_GoBack"/>
      <w:bookmarkEnd w:id="1"/>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gridCol w:w="7371"/>
      </w:tblGrid>
      <w:tr w:rsidR="002D7358" w:rsidRPr="008942CB" w:rsidTr="002D7358">
        <w:trPr>
          <w:trHeight w:hRule="exact" w:val="1136"/>
        </w:trPr>
        <w:tc>
          <w:tcPr>
            <w:tcW w:w="3686" w:type="dxa"/>
            <w:shd w:val="clear" w:color="auto" w:fill="auto"/>
          </w:tcPr>
          <w:p w:rsidR="002D7358" w:rsidRPr="008942CB" w:rsidRDefault="002D7358" w:rsidP="0008572E">
            <w:pPr>
              <w:ind w:left="851"/>
            </w:pPr>
          </w:p>
        </w:tc>
        <w:tc>
          <w:tcPr>
            <w:tcW w:w="7371" w:type="dxa"/>
            <w:shd w:val="clear" w:color="auto" w:fill="auto"/>
          </w:tcPr>
          <w:p w:rsidR="002D7358" w:rsidRPr="008942CB" w:rsidRDefault="002D7358" w:rsidP="0008572E">
            <w:pPr>
              <w:ind w:left="851"/>
            </w:pPr>
          </w:p>
        </w:tc>
      </w:tr>
      <w:tr w:rsidR="002D7358" w:rsidRPr="008942CB" w:rsidTr="000C5B60">
        <w:trPr>
          <w:trHeight w:hRule="exact" w:val="7786"/>
        </w:trPr>
        <w:tc>
          <w:tcPr>
            <w:tcW w:w="3686" w:type="dxa"/>
            <w:shd w:val="clear" w:color="auto" w:fill="auto"/>
          </w:tcPr>
          <w:p w:rsidR="002D7358" w:rsidRPr="008942CB" w:rsidRDefault="002D7358" w:rsidP="0008572E">
            <w:pPr>
              <w:ind w:left="851"/>
            </w:pPr>
          </w:p>
        </w:tc>
        <w:tc>
          <w:tcPr>
            <w:tcW w:w="7371" w:type="dxa"/>
            <w:shd w:val="clear" w:color="auto" w:fill="F1B434" w:themeFill="text2"/>
          </w:tcPr>
          <w:p w:rsidR="002D7358" w:rsidRPr="008942CB" w:rsidRDefault="002D7358" w:rsidP="00FE403E">
            <w:pPr>
              <w:pStyle w:val="Contactdetails"/>
            </w:pPr>
          </w:p>
          <w:p w:rsidR="002D7358" w:rsidRDefault="00074EAB" w:rsidP="00FE403E">
            <w:pPr>
              <w:pStyle w:val="Contactdetails"/>
            </w:pPr>
            <w:bookmarkStart w:id="2" w:name="backcover"/>
            <w:bookmarkEnd w:id="2"/>
            <w:r>
              <w:t>By Kate Creagh</w:t>
            </w:r>
          </w:p>
          <w:p w:rsidR="00074EAB" w:rsidRDefault="00074EAB" w:rsidP="00FE403E">
            <w:pPr>
              <w:pStyle w:val="Contactdetails"/>
            </w:pPr>
            <w:r>
              <w:t>Public Affairs Manager</w:t>
            </w:r>
          </w:p>
          <w:p w:rsidR="00074EAB" w:rsidRDefault="00074EAB" w:rsidP="00FE403E">
            <w:pPr>
              <w:pStyle w:val="Contactdetails"/>
            </w:pPr>
            <w:r>
              <w:t>kate.creagh@bsa.org.uk</w:t>
            </w:r>
          </w:p>
          <w:p w:rsidR="00074EAB" w:rsidRPr="008942CB" w:rsidRDefault="00074EAB" w:rsidP="00FE403E">
            <w:pPr>
              <w:pStyle w:val="Contactdetails"/>
            </w:pPr>
            <w:r>
              <w:t>020 7520 5905</w:t>
            </w:r>
          </w:p>
          <w:p w:rsidR="0060258F" w:rsidRPr="008942CB" w:rsidRDefault="0060258F" w:rsidP="00FE403E">
            <w:pPr>
              <w:pStyle w:val="Contactdetails"/>
            </w:pPr>
          </w:p>
          <w:p w:rsidR="0060258F" w:rsidRPr="008942CB" w:rsidRDefault="0060258F" w:rsidP="00FD3B6C">
            <w:pPr>
              <w:pStyle w:val="Addressdetails"/>
            </w:pPr>
            <w:r w:rsidRPr="008942CB">
              <w:t>York House</w:t>
            </w:r>
          </w:p>
          <w:p w:rsidR="0060258F" w:rsidRPr="008942CB" w:rsidRDefault="0060258F" w:rsidP="00FD3B6C">
            <w:pPr>
              <w:pStyle w:val="Addressdetails"/>
            </w:pPr>
            <w:r w:rsidRPr="008942CB">
              <w:t>23 Kingsway</w:t>
            </w:r>
          </w:p>
          <w:p w:rsidR="0060258F" w:rsidRPr="008942CB" w:rsidRDefault="008942CB" w:rsidP="00FD3B6C">
            <w:pPr>
              <w:pStyle w:val="Addressdetails"/>
            </w:pPr>
            <w:r w:rsidRPr="008942CB">
              <w:t>London WC2B 6UJ</w:t>
            </w:r>
          </w:p>
          <w:p w:rsidR="0060258F" w:rsidRPr="008942CB" w:rsidRDefault="0060258F" w:rsidP="00FD3B6C">
            <w:pPr>
              <w:pStyle w:val="Addressdetails"/>
            </w:pPr>
          </w:p>
          <w:p w:rsidR="0060258F" w:rsidRPr="008942CB" w:rsidRDefault="0060258F" w:rsidP="00FD3B6C">
            <w:pPr>
              <w:pStyle w:val="Addressdetails"/>
            </w:pPr>
            <w:r w:rsidRPr="008942CB">
              <w:t>020 7520 5900</w:t>
            </w:r>
          </w:p>
          <w:p w:rsidR="0060258F" w:rsidRPr="008942CB" w:rsidRDefault="0060258F" w:rsidP="00FD3B6C">
            <w:pPr>
              <w:pStyle w:val="Addressdetails"/>
            </w:pPr>
            <w:r w:rsidRPr="008942CB">
              <w:t>@</w:t>
            </w:r>
            <w:proofErr w:type="spellStart"/>
            <w:r w:rsidRPr="008942CB">
              <w:t>BSABuildingSocs</w:t>
            </w:r>
            <w:proofErr w:type="spellEnd"/>
          </w:p>
          <w:p w:rsidR="0060258F" w:rsidRPr="008942CB" w:rsidRDefault="0060258F" w:rsidP="00FD3B6C">
            <w:pPr>
              <w:pStyle w:val="Addressdetails"/>
            </w:pPr>
            <w:r w:rsidRPr="008942CB">
              <w:t>www.bsa.org.uk</w:t>
            </w:r>
          </w:p>
          <w:p w:rsidR="0060258F" w:rsidRPr="008942CB" w:rsidRDefault="0060258F" w:rsidP="00FD3B6C">
            <w:pPr>
              <w:pStyle w:val="Addressdetails"/>
            </w:pPr>
          </w:p>
          <w:p w:rsidR="0060258F" w:rsidRPr="008942CB" w:rsidRDefault="0060258F" w:rsidP="008942CB">
            <w:pPr>
              <w:pStyle w:val="Addressdetails"/>
            </w:pPr>
          </w:p>
        </w:tc>
      </w:tr>
      <w:tr w:rsidR="002D7358" w:rsidRPr="008942CB" w:rsidTr="00470A28">
        <w:trPr>
          <w:trHeight w:hRule="exact" w:val="3134"/>
        </w:trPr>
        <w:tc>
          <w:tcPr>
            <w:tcW w:w="3686" w:type="dxa"/>
            <w:shd w:val="clear" w:color="auto" w:fill="auto"/>
          </w:tcPr>
          <w:p w:rsidR="002D7358" w:rsidRPr="008942CB" w:rsidRDefault="002D7358" w:rsidP="002D7358">
            <w:pPr>
              <w:ind w:left="851"/>
            </w:pPr>
          </w:p>
        </w:tc>
        <w:tc>
          <w:tcPr>
            <w:tcW w:w="7371" w:type="dxa"/>
            <w:shd w:val="clear" w:color="auto" w:fill="F1B434" w:themeFill="text2"/>
          </w:tcPr>
          <w:p w:rsidR="002D7358" w:rsidRPr="008942CB" w:rsidRDefault="002D7358" w:rsidP="0060258F">
            <w:pPr>
              <w:pStyle w:val="Contactdetails"/>
              <w:rPr>
                <w:sz w:val="32"/>
                <w:szCs w:val="32"/>
              </w:rPr>
            </w:pPr>
            <w:r w:rsidRPr="008942CB">
              <w:rPr>
                <w:sz w:val="32"/>
                <w:szCs w:val="32"/>
              </w:rPr>
              <w:t>www.bsa.org.uk</w:t>
            </w:r>
          </w:p>
          <w:p w:rsidR="0008572E" w:rsidRPr="008942CB" w:rsidRDefault="0008572E" w:rsidP="0008572E">
            <w:pPr>
              <w:pStyle w:val="Contactdetails"/>
              <w:spacing w:line="200" w:lineRule="atLeast"/>
              <w:rPr>
                <w:sz w:val="17"/>
                <w:szCs w:val="17"/>
              </w:rPr>
            </w:pPr>
          </w:p>
          <w:p w:rsidR="0008572E" w:rsidRPr="008942CB" w:rsidRDefault="00611BF5" w:rsidP="0008572E">
            <w:pPr>
              <w:pStyle w:val="Contactdetails"/>
              <w:spacing w:line="200" w:lineRule="atLeast"/>
              <w:rPr>
                <w:spacing w:val="-2"/>
                <w:sz w:val="17"/>
                <w:szCs w:val="17"/>
              </w:rPr>
            </w:pPr>
            <w:r w:rsidRPr="008942CB">
              <w:rPr>
                <w:spacing w:val="-2"/>
                <w:sz w:val="17"/>
                <w:szCs w:val="17"/>
              </w:rPr>
              <w:t xml:space="preserve">The Building Societies Association (BSA) is the voice of the UK’s building societies and also </w:t>
            </w:r>
            <w:r w:rsidRPr="008942CB">
              <w:rPr>
                <w:spacing w:val="-2"/>
                <w:sz w:val="17"/>
                <w:szCs w:val="17"/>
              </w:rPr>
              <w:br/>
              <w:t>represents a number of credit unions.</w:t>
            </w:r>
          </w:p>
          <w:p w:rsidR="00611BF5" w:rsidRPr="008942CB" w:rsidRDefault="00611BF5" w:rsidP="0008572E">
            <w:pPr>
              <w:pStyle w:val="Contactdetails"/>
              <w:spacing w:line="200" w:lineRule="atLeast"/>
              <w:rPr>
                <w:spacing w:val="-2"/>
                <w:sz w:val="17"/>
                <w:szCs w:val="17"/>
              </w:rPr>
            </w:pPr>
          </w:p>
          <w:p w:rsidR="0008572E" w:rsidRPr="008942CB" w:rsidRDefault="0008572E" w:rsidP="0008572E">
            <w:pPr>
              <w:pStyle w:val="Contactdetails"/>
              <w:spacing w:line="200" w:lineRule="atLeast"/>
              <w:rPr>
                <w:spacing w:val="-2"/>
                <w:sz w:val="17"/>
                <w:szCs w:val="17"/>
              </w:rPr>
            </w:pPr>
            <w:r w:rsidRPr="008942CB">
              <w:rPr>
                <w:spacing w:val="-2"/>
                <w:sz w:val="17"/>
                <w:szCs w:val="17"/>
              </w:rPr>
              <w:t xml:space="preserve">We fulfil two key roles. We provide our members with information to help them run their </w:t>
            </w:r>
            <w:r w:rsidRPr="008942CB">
              <w:rPr>
                <w:spacing w:val="-2"/>
                <w:sz w:val="17"/>
                <w:szCs w:val="17"/>
              </w:rPr>
              <w:br/>
              <w:t xml:space="preserve">businesses. We also represent their interests to audiences including the Financial Conduct </w:t>
            </w:r>
            <w:r w:rsidR="00470A28" w:rsidRPr="008942CB">
              <w:rPr>
                <w:spacing w:val="-2"/>
                <w:sz w:val="17"/>
                <w:szCs w:val="17"/>
              </w:rPr>
              <w:br/>
            </w:r>
            <w:r w:rsidRPr="008942CB">
              <w:rPr>
                <w:spacing w:val="-2"/>
                <w:sz w:val="17"/>
                <w:szCs w:val="17"/>
              </w:rPr>
              <w:t>Authority, Prudential Regulation Autho</w:t>
            </w:r>
            <w:r w:rsidR="000F24D3" w:rsidRPr="008942CB">
              <w:rPr>
                <w:spacing w:val="-2"/>
                <w:sz w:val="17"/>
                <w:szCs w:val="17"/>
              </w:rPr>
              <w:t>rity and other regulators, the G</w:t>
            </w:r>
            <w:r w:rsidRPr="008942CB">
              <w:rPr>
                <w:spacing w:val="-2"/>
                <w:sz w:val="17"/>
                <w:szCs w:val="17"/>
              </w:rPr>
              <w:t>overnm</w:t>
            </w:r>
            <w:r w:rsidR="000F24D3" w:rsidRPr="008942CB">
              <w:rPr>
                <w:spacing w:val="-2"/>
                <w:sz w:val="17"/>
                <w:szCs w:val="17"/>
              </w:rPr>
              <w:t xml:space="preserve">ent and </w:t>
            </w:r>
            <w:r w:rsidR="00470A28" w:rsidRPr="008942CB">
              <w:rPr>
                <w:spacing w:val="-2"/>
                <w:sz w:val="17"/>
                <w:szCs w:val="17"/>
              </w:rPr>
              <w:br/>
            </w:r>
            <w:r w:rsidR="000F24D3" w:rsidRPr="008942CB">
              <w:rPr>
                <w:spacing w:val="-2"/>
                <w:sz w:val="17"/>
                <w:szCs w:val="17"/>
              </w:rPr>
              <w:t>P</w:t>
            </w:r>
            <w:r w:rsidR="00470A28" w:rsidRPr="008942CB">
              <w:rPr>
                <w:spacing w:val="-2"/>
                <w:sz w:val="17"/>
                <w:szCs w:val="17"/>
              </w:rPr>
              <w:t xml:space="preserve">arliament, the Bank </w:t>
            </w:r>
            <w:r w:rsidRPr="008942CB">
              <w:rPr>
                <w:spacing w:val="-2"/>
                <w:sz w:val="17"/>
                <w:szCs w:val="17"/>
              </w:rPr>
              <w:t xml:space="preserve">of England, the media and other opinion formers, </w:t>
            </w:r>
            <w:r w:rsidR="00470A28" w:rsidRPr="008942CB">
              <w:rPr>
                <w:spacing w:val="-2"/>
                <w:sz w:val="17"/>
                <w:szCs w:val="17"/>
              </w:rPr>
              <w:br/>
            </w:r>
            <w:r w:rsidRPr="008942CB">
              <w:rPr>
                <w:spacing w:val="-2"/>
                <w:sz w:val="17"/>
                <w:szCs w:val="17"/>
              </w:rPr>
              <w:t>and the general public.</w:t>
            </w:r>
          </w:p>
          <w:p w:rsidR="0008572E" w:rsidRPr="008942CB" w:rsidRDefault="0008572E" w:rsidP="0008572E">
            <w:pPr>
              <w:pStyle w:val="Contactdetails"/>
              <w:spacing w:line="200" w:lineRule="atLeast"/>
              <w:rPr>
                <w:spacing w:val="-2"/>
                <w:sz w:val="17"/>
                <w:szCs w:val="17"/>
              </w:rPr>
            </w:pPr>
          </w:p>
          <w:p w:rsidR="006551A2" w:rsidRDefault="006551A2" w:rsidP="0008572E">
            <w:pPr>
              <w:pStyle w:val="Contactdetails"/>
              <w:spacing w:line="200" w:lineRule="atLeast"/>
              <w:rPr>
                <w:spacing w:val="-2"/>
                <w:sz w:val="17"/>
                <w:szCs w:val="17"/>
              </w:rPr>
            </w:pPr>
            <w:r w:rsidRPr="006551A2">
              <w:rPr>
                <w:spacing w:val="-2"/>
                <w:sz w:val="17"/>
                <w:szCs w:val="17"/>
              </w:rPr>
              <w:t>Our members have total assets of over £4</w:t>
            </w:r>
            <w:r w:rsidR="00C270E3">
              <w:rPr>
                <w:spacing w:val="-2"/>
                <w:sz w:val="17"/>
                <w:szCs w:val="17"/>
              </w:rPr>
              <w:t>35</w:t>
            </w:r>
            <w:r w:rsidRPr="006551A2">
              <w:rPr>
                <w:spacing w:val="-2"/>
                <w:sz w:val="17"/>
                <w:szCs w:val="17"/>
              </w:rPr>
              <w:t xml:space="preserve"> billion, and account for 23% </w:t>
            </w:r>
          </w:p>
          <w:p w:rsidR="0060258F" w:rsidRPr="008942CB" w:rsidRDefault="006551A2" w:rsidP="0008572E">
            <w:pPr>
              <w:pStyle w:val="Contactdetails"/>
              <w:spacing w:line="200" w:lineRule="atLeast"/>
              <w:rPr>
                <w:sz w:val="16"/>
                <w:szCs w:val="16"/>
              </w:rPr>
            </w:pPr>
            <w:r w:rsidRPr="006551A2">
              <w:rPr>
                <w:spacing w:val="-2"/>
                <w:sz w:val="17"/>
                <w:szCs w:val="17"/>
              </w:rPr>
              <w:t>of the UK mortgage market and 1</w:t>
            </w:r>
            <w:r w:rsidR="00C270E3">
              <w:rPr>
                <w:spacing w:val="-2"/>
                <w:sz w:val="17"/>
                <w:szCs w:val="17"/>
              </w:rPr>
              <w:t>7</w:t>
            </w:r>
            <w:r w:rsidRPr="006551A2">
              <w:rPr>
                <w:spacing w:val="-2"/>
                <w:sz w:val="17"/>
                <w:szCs w:val="17"/>
              </w:rPr>
              <w:t>% of the UK savings market.</w:t>
            </w:r>
          </w:p>
        </w:tc>
      </w:tr>
    </w:tbl>
    <w:p w:rsidR="00D87F11" w:rsidRPr="008942CB" w:rsidRDefault="00D87F11" w:rsidP="0008572E"/>
    <w:sectPr w:rsidR="00D87F11" w:rsidRPr="008942CB" w:rsidSect="002D7358">
      <w:footerReference w:type="even" r:id="rId11"/>
      <w:footerReference w:type="default" r:id="rId12"/>
      <w:pgSz w:w="11906" w:h="16838" w:code="9"/>
      <w:pgMar w:top="851" w:right="851" w:bottom="1418"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EAB" w:rsidRDefault="00074EAB" w:rsidP="003114C2">
      <w:pPr>
        <w:spacing w:after="0" w:line="240" w:lineRule="auto"/>
      </w:pPr>
      <w:r>
        <w:separator/>
      </w:r>
    </w:p>
  </w:endnote>
  <w:endnote w:type="continuationSeparator" w:id="0">
    <w:p w:rsidR="00074EAB" w:rsidRDefault="00074EAB" w:rsidP="00311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05" w:type="dxa"/>
      <w:tblBorders>
        <w:top w:val="single" w:sz="12" w:space="0" w:color="F1B434" w:themeColor="text2"/>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right w:w="0" w:type="dxa"/>
      </w:tblCellMar>
      <w:tblLook w:val="04A0" w:firstRow="1" w:lastRow="0" w:firstColumn="1" w:lastColumn="0" w:noHBand="0" w:noVBand="1"/>
    </w:tblPr>
    <w:tblGrid>
      <w:gridCol w:w="5954"/>
      <w:gridCol w:w="1701"/>
      <w:gridCol w:w="850"/>
    </w:tblGrid>
    <w:tr w:rsidR="0008572E" w:rsidTr="00A17F86">
      <w:trPr>
        <w:trHeight w:hRule="exact" w:val="680"/>
      </w:trPr>
      <w:tc>
        <w:tcPr>
          <w:tcW w:w="5954" w:type="dxa"/>
        </w:tcPr>
        <w:p w:rsidR="0008572E" w:rsidRDefault="00785C72" w:rsidP="001B66CC">
          <w:pPr>
            <w:pStyle w:val="Footer"/>
            <w:ind w:right="567"/>
          </w:pPr>
          <w:fldSimple w:instr=" STYLEREF  &quot;Document title&quot;  \* MERGEFORMAT ">
            <w:r w:rsidR="00074EAB">
              <w:rPr>
                <w:noProof/>
              </w:rPr>
              <w:t>Budget 2021</w:t>
            </w:r>
          </w:fldSimple>
        </w:p>
      </w:tc>
      <w:tc>
        <w:tcPr>
          <w:tcW w:w="1701" w:type="dxa"/>
        </w:tcPr>
        <w:p w:rsidR="0008572E" w:rsidRPr="000C5B60" w:rsidRDefault="0008572E">
          <w:pPr>
            <w:pStyle w:val="Footer"/>
            <w:rPr>
              <w:color w:val="F1B434" w:themeColor="text2"/>
            </w:rPr>
          </w:pPr>
          <w:r w:rsidRPr="000C5B60">
            <w:rPr>
              <w:color w:val="F1B434" w:themeColor="text2"/>
            </w:rPr>
            <w:t>www.bsa.org.uk</w:t>
          </w:r>
        </w:p>
        <w:p w:rsidR="0008572E" w:rsidRDefault="0008572E">
          <w:pPr>
            <w:pStyle w:val="Footer"/>
          </w:pPr>
          <w:r w:rsidRPr="000C5B60">
            <w:rPr>
              <w:color w:val="F1B434" w:themeColor="text2"/>
            </w:rPr>
            <w:t>@</w:t>
          </w:r>
          <w:proofErr w:type="spellStart"/>
          <w:r w:rsidRPr="000C5B60">
            <w:rPr>
              <w:color w:val="F1B434" w:themeColor="text2"/>
            </w:rPr>
            <w:t>BSABuildingSocs</w:t>
          </w:r>
          <w:proofErr w:type="spellEnd"/>
        </w:p>
      </w:tc>
      <w:tc>
        <w:tcPr>
          <w:tcW w:w="850" w:type="dxa"/>
        </w:tcPr>
        <w:p w:rsidR="0008572E" w:rsidRDefault="0008572E" w:rsidP="003114C2">
          <w:pPr>
            <w:pStyle w:val="Footer"/>
            <w:jc w:val="right"/>
          </w:pPr>
          <w:r>
            <w:fldChar w:fldCharType="begin"/>
          </w:r>
          <w:r>
            <w:instrText xml:space="preserve"> PAGE  \* Arabic  \* MERGEFORMAT </w:instrText>
          </w:r>
          <w:r>
            <w:fldChar w:fldCharType="separate"/>
          </w:r>
          <w:r w:rsidR="00074EAB">
            <w:rPr>
              <w:noProof/>
            </w:rPr>
            <w:t>2</w:t>
          </w:r>
          <w:r>
            <w:fldChar w:fldCharType="end"/>
          </w:r>
        </w:p>
      </w:tc>
    </w:tr>
  </w:tbl>
  <w:p w:rsidR="0008572E" w:rsidRPr="001B66CC" w:rsidRDefault="0008572E" w:rsidP="001B66CC">
    <w:pPr>
      <w:pStyle w:val="Footer"/>
      <w:spacing w:line="240" w:lineRule="auto"/>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05" w:type="dxa"/>
      <w:tblBorders>
        <w:top w:val="single" w:sz="12" w:space="0" w:color="F1B434" w:themeColor="text2"/>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right w:w="0" w:type="dxa"/>
      </w:tblCellMar>
      <w:tblLook w:val="04A0" w:firstRow="1" w:lastRow="0" w:firstColumn="1" w:lastColumn="0" w:noHBand="0" w:noVBand="1"/>
    </w:tblPr>
    <w:tblGrid>
      <w:gridCol w:w="5954"/>
      <w:gridCol w:w="1701"/>
      <w:gridCol w:w="850"/>
    </w:tblGrid>
    <w:tr w:rsidR="0008572E" w:rsidTr="00A17F86">
      <w:trPr>
        <w:trHeight w:hRule="exact" w:val="680"/>
      </w:trPr>
      <w:tc>
        <w:tcPr>
          <w:tcW w:w="5954" w:type="dxa"/>
        </w:tcPr>
        <w:p w:rsidR="0008572E" w:rsidRDefault="00B45215" w:rsidP="001B66CC">
          <w:pPr>
            <w:pStyle w:val="Footer"/>
            <w:ind w:right="567"/>
          </w:pPr>
          <w:fldSimple w:instr=" STYLEREF  &quot;Document title&quot;  \* MERGEFORMAT ">
            <w:r w:rsidR="00074EAB">
              <w:rPr>
                <w:noProof/>
              </w:rPr>
              <w:t>Budget 2021</w:t>
            </w:r>
          </w:fldSimple>
        </w:p>
      </w:tc>
      <w:tc>
        <w:tcPr>
          <w:tcW w:w="1701" w:type="dxa"/>
        </w:tcPr>
        <w:p w:rsidR="0008572E" w:rsidRPr="000C5B60" w:rsidRDefault="0008572E" w:rsidP="0008572E">
          <w:pPr>
            <w:pStyle w:val="Footer"/>
            <w:rPr>
              <w:color w:val="F1B434" w:themeColor="text2"/>
            </w:rPr>
          </w:pPr>
          <w:r w:rsidRPr="000C5B60">
            <w:rPr>
              <w:color w:val="F1B434" w:themeColor="text2"/>
            </w:rPr>
            <w:t>www.bsa.org.uk</w:t>
          </w:r>
        </w:p>
        <w:p w:rsidR="0008572E" w:rsidRDefault="0008572E" w:rsidP="0008572E">
          <w:pPr>
            <w:pStyle w:val="Footer"/>
          </w:pPr>
          <w:r w:rsidRPr="000C5B60">
            <w:rPr>
              <w:color w:val="F1B434" w:themeColor="text2"/>
            </w:rPr>
            <w:t>@</w:t>
          </w:r>
          <w:proofErr w:type="spellStart"/>
          <w:r w:rsidRPr="000C5B60">
            <w:rPr>
              <w:color w:val="F1B434" w:themeColor="text2"/>
            </w:rPr>
            <w:t>BSABuildingSocs</w:t>
          </w:r>
          <w:proofErr w:type="spellEnd"/>
        </w:p>
      </w:tc>
      <w:tc>
        <w:tcPr>
          <w:tcW w:w="850" w:type="dxa"/>
        </w:tcPr>
        <w:p w:rsidR="0008572E" w:rsidRDefault="0008572E" w:rsidP="0008572E">
          <w:pPr>
            <w:pStyle w:val="Footer"/>
            <w:jc w:val="right"/>
          </w:pPr>
          <w:r>
            <w:fldChar w:fldCharType="begin"/>
          </w:r>
          <w:r>
            <w:instrText xml:space="preserve"> PAGE  \* Arabic  \* MERGEFORMAT </w:instrText>
          </w:r>
          <w:r>
            <w:fldChar w:fldCharType="separate"/>
          </w:r>
          <w:r w:rsidR="00074EAB">
            <w:rPr>
              <w:noProof/>
            </w:rPr>
            <w:t>3</w:t>
          </w:r>
          <w:r>
            <w:fldChar w:fldCharType="end"/>
          </w:r>
        </w:p>
      </w:tc>
    </w:tr>
  </w:tbl>
  <w:p w:rsidR="0008572E" w:rsidRPr="001B66CC" w:rsidRDefault="0008572E" w:rsidP="001B66CC">
    <w:pPr>
      <w:pStyle w:val="Footer"/>
      <w:spacing w:line="240" w:lineRule="auto"/>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6B" w:rsidRPr="001B66CC" w:rsidRDefault="006F116B" w:rsidP="001B66CC">
    <w:pPr>
      <w:pStyle w:val="Footer"/>
      <w:spacing w:line="240" w:lineRule="auto"/>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B33" w:rsidRPr="001B66CC" w:rsidRDefault="00C86B33" w:rsidP="001B66CC">
    <w:pPr>
      <w:pStyle w:val="Footer"/>
      <w:spacing w:line="240" w:lineRule="auto"/>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EAB" w:rsidRDefault="00074EAB" w:rsidP="003114C2">
      <w:pPr>
        <w:spacing w:after="0" w:line="240" w:lineRule="auto"/>
      </w:pPr>
      <w:r>
        <w:separator/>
      </w:r>
    </w:p>
  </w:footnote>
  <w:footnote w:type="continuationSeparator" w:id="0">
    <w:p w:rsidR="00074EAB" w:rsidRDefault="00074EAB" w:rsidP="003114C2">
      <w:pPr>
        <w:spacing w:after="0" w:line="240" w:lineRule="auto"/>
      </w:pPr>
      <w:r>
        <w:continuationSeparator/>
      </w:r>
    </w:p>
  </w:footnote>
  <w:footnote w:id="1">
    <w:p w:rsidR="00074EAB" w:rsidRDefault="00074EAB" w:rsidP="00074EAB">
      <w:pPr>
        <w:pStyle w:val="FootnoteText"/>
      </w:pPr>
      <w:r>
        <w:rPr>
          <w:rStyle w:val="FootnoteReference"/>
        </w:rPr>
        <w:footnoteRef/>
      </w:r>
      <w:r>
        <w:t xml:space="preserve"> </w:t>
      </w:r>
      <w:r w:rsidRPr="00D35251">
        <w:t>https://www.gov.uk/government/publications/bank-corporation-tax-surcharge/bank-corporation-tax-surcharge</w:t>
      </w:r>
    </w:p>
  </w:footnote>
  <w:footnote w:id="2">
    <w:p w:rsidR="00074EAB" w:rsidRDefault="00074EAB" w:rsidP="00074EAB">
      <w:pPr>
        <w:pStyle w:val="FootnoteText"/>
      </w:pPr>
      <w:r>
        <w:rPr>
          <w:rStyle w:val="FootnoteReference"/>
        </w:rPr>
        <w:footnoteRef/>
      </w:r>
      <w:r>
        <w:t xml:space="preserve"> </w:t>
      </w:r>
      <w:r>
        <w:rPr>
          <w:color w:val="000000"/>
        </w:rPr>
        <w:t xml:space="preserve">Social Market Foundation – Safe as Houses Report </w:t>
      </w:r>
      <w:hyperlink r:id="rId1" w:history="1">
        <w:r>
          <w:rPr>
            <w:rStyle w:val="Hyperlink"/>
          </w:rPr>
          <w:t>https://www.smf.co.uk/publications/safe-as-houses/</w:t>
        </w:r>
      </w:hyperlink>
    </w:p>
  </w:footnote>
  <w:footnote w:id="3">
    <w:p w:rsidR="00074EAB" w:rsidRDefault="00074EAB" w:rsidP="00074EAB">
      <w:pPr>
        <w:pStyle w:val="FootnoteText"/>
      </w:pPr>
      <w:r>
        <w:rPr>
          <w:rStyle w:val="FootnoteReference"/>
        </w:rPr>
        <w:footnoteRef/>
      </w:r>
      <w:r>
        <w:t xml:space="preserve"> Centre for Policy Studies – From SMI to Mortgage Support Report: </w:t>
      </w:r>
      <w:hyperlink r:id="rId2" w:history="1">
        <w:r w:rsidRPr="004E2B84">
          <w:rPr>
            <w:rStyle w:val="Hyperlink"/>
          </w:rPr>
          <w:t>https://www.cps.org.uk/research/from-smi-to-mortgage-support/</w:t>
        </w:r>
      </w:hyperlink>
      <w:r>
        <w:t xml:space="preserve"> </w:t>
      </w:r>
    </w:p>
  </w:footnote>
  <w:footnote w:id="4">
    <w:p w:rsidR="00074EAB" w:rsidRDefault="00074EAB" w:rsidP="00074EAB">
      <w:pPr>
        <w:pStyle w:val="FootnoteText"/>
      </w:pPr>
      <w:r>
        <w:rPr>
          <w:rStyle w:val="FootnoteReference"/>
        </w:rPr>
        <w:footnoteRef/>
      </w:r>
      <w:r>
        <w:t xml:space="preserve"> The English Housing Survey November – December 2020: </w:t>
      </w:r>
      <w:hyperlink r:id="rId3" w:history="1">
        <w:r w:rsidRPr="00E8171B">
          <w:rPr>
            <w:rStyle w:val="Hyperlink"/>
          </w:rPr>
          <w:t>https://assets.publishing.service.gov.uk/government/uploads/system/uploads/attachment_data/file/978991/Household_Resilience_Study_Wave_2_November-December_2020_Report.pdf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D9E5A1C"/>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B1B8687A"/>
    <w:lvl w:ilvl="0">
      <w:start w:val="1"/>
      <w:numFmt w:val="bullet"/>
      <w:pStyle w:val="ListBullet2"/>
      <w:lvlText w:val="–"/>
      <w:lvlJc w:val="left"/>
      <w:pPr>
        <w:ind w:left="643" w:hanging="360"/>
      </w:pPr>
      <w:rPr>
        <w:rFonts w:ascii="Calibri" w:hAnsi="Calibri" w:hint="default"/>
      </w:rPr>
    </w:lvl>
  </w:abstractNum>
  <w:abstractNum w:abstractNumId="2" w15:restartNumberingAfterBreak="0">
    <w:nsid w:val="FFFFFF88"/>
    <w:multiLevelType w:val="singleLevel"/>
    <w:tmpl w:val="95AAFDB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650DE9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D95163F"/>
    <w:multiLevelType w:val="hybridMultilevel"/>
    <w:tmpl w:val="41E2F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211A93"/>
    <w:multiLevelType w:val="hybridMultilevel"/>
    <w:tmpl w:val="6EA4237E"/>
    <w:lvl w:ilvl="0" w:tplc="919A4B04">
      <w:start w:val="1"/>
      <w:numFmt w:val="lowerRoman"/>
      <w:pStyle w:val="Numbering-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4D7891"/>
    <w:multiLevelType w:val="hybridMultilevel"/>
    <w:tmpl w:val="3370CD34"/>
    <w:lvl w:ilvl="0" w:tplc="7A78DD68">
      <w:start w:val="1"/>
      <w:numFmt w:val="lowerLetter"/>
      <w:pStyle w:val="Numbering-Alpha"/>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7" w15:restartNumberingAfterBreak="0">
    <w:nsid w:val="76C41969"/>
    <w:multiLevelType w:val="hybridMultilevel"/>
    <w:tmpl w:val="6FD0DAFA"/>
    <w:lvl w:ilvl="0" w:tplc="1B4EF390">
      <w:start w:val="1"/>
      <w:numFmt w:val="decimal"/>
      <w:pStyle w:val="Numberedparagraph"/>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attachedTemplate r:id="rId1"/>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AB"/>
    <w:rsid w:val="0004114F"/>
    <w:rsid w:val="00041AB5"/>
    <w:rsid w:val="000502DB"/>
    <w:rsid w:val="000605FC"/>
    <w:rsid w:val="00074EAB"/>
    <w:rsid w:val="00080A8F"/>
    <w:rsid w:val="00081F7D"/>
    <w:rsid w:val="0008572E"/>
    <w:rsid w:val="000C4778"/>
    <w:rsid w:val="000C5B60"/>
    <w:rsid w:val="000C6002"/>
    <w:rsid w:val="000E0183"/>
    <w:rsid w:val="000F24D3"/>
    <w:rsid w:val="00100022"/>
    <w:rsid w:val="001134A3"/>
    <w:rsid w:val="00126B30"/>
    <w:rsid w:val="00191C63"/>
    <w:rsid w:val="001B66CC"/>
    <w:rsid w:val="001D7EA8"/>
    <w:rsid w:val="001E7D3E"/>
    <w:rsid w:val="001F5F55"/>
    <w:rsid w:val="00211457"/>
    <w:rsid w:val="0022292C"/>
    <w:rsid w:val="00237111"/>
    <w:rsid w:val="00253138"/>
    <w:rsid w:val="00262690"/>
    <w:rsid w:val="00275136"/>
    <w:rsid w:val="00281D28"/>
    <w:rsid w:val="002A230C"/>
    <w:rsid w:val="002A37D9"/>
    <w:rsid w:val="002A3F5D"/>
    <w:rsid w:val="002C44AA"/>
    <w:rsid w:val="002D7358"/>
    <w:rsid w:val="002E416B"/>
    <w:rsid w:val="003024C4"/>
    <w:rsid w:val="003114C2"/>
    <w:rsid w:val="0032373B"/>
    <w:rsid w:val="00337680"/>
    <w:rsid w:val="00360834"/>
    <w:rsid w:val="00377A8D"/>
    <w:rsid w:val="00381210"/>
    <w:rsid w:val="003B0475"/>
    <w:rsid w:val="003C45FB"/>
    <w:rsid w:val="003D4801"/>
    <w:rsid w:val="003E5452"/>
    <w:rsid w:val="003F097C"/>
    <w:rsid w:val="004052BC"/>
    <w:rsid w:val="004556AB"/>
    <w:rsid w:val="00465E2F"/>
    <w:rsid w:val="00470A28"/>
    <w:rsid w:val="004839E9"/>
    <w:rsid w:val="004A0DCC"/>
    <w:rsid w:val="004B752A"/>
    <w:rsid w:val="004D4148"/>
    <w:rsid w:val="004D437C"/>
    <w:rsid w:val="004E7A8C"/>
    <w:rsid w:val="004E7D28"/>
    <w:rsid w:val="004F43C5"/>
    <w:rsid w:val="00502BF4"/>
    <w:rsid w:val="00535875"/>
    <w:rsid w:val="00542ADC"/>
    <w:rsid w:val="00542FEB"/>
    <w:rsid w:val="005463FF"/>
    <w:rsid w:val="00561FEB"/>
    <w:rsid w:val="00564083"/>
    <w:rsid w:val="005729F9"/>
    <w:rsid w:val="005966D1"/>
    <w:rsid w:val="005A65D3"/>
    <w:rsid w:val="005B332E"/>
    <w:rsid w:val="005B628A"/>
    <w:rsid w:val="005C7FE6"/>
    <w:rsid w:val="005E66F8"/>
    <w:rsid w:val="005E715C"/>
    <w:rsid w:val="005F590E"/>
    <w:rsid w:val="0060258F"/>
    <w:rsid w:val="00605199"/>
    <w:rsid w:val="00611BF5"/>
    <w:rsid w:val="00613250"/>
    <w:rsid w:val="0062719C"/>
    <w:rsid w:val="006367B0"/>
    <w:rsid w:val="006551A2"/>
    <w:rsid w:val="006757AB"/>
    <w:rsid w:val="00680974"/>
    <w:rsid w:val="00691411"/>
    <w:rsid w:val="006978C5"/>
    <w:rsid w:val="006A473D"/>
    <w:rsid w:val="006B16E0"/>
    <w:rsid w:val="006B4816"/>
    <w:rsid w:val="006C3737"/>
    <w:rsid w:val="006F116B"/>
    <w:rsid w:val="006F5262"/>
    <w:rsid w:val="00711887"/>
    <w:rsid w:val="0072466B"/>
    <w:rsid w:val="00752222"/>
    <w:rsid w:val="00752254"/>
    <w:rsid w:val="007642F1"/>
    <w:rsid w:val="00765C84"/>
    <w:rsid w:val="0076614E"/>
    <w:rsid w:val="00785C72"/>
    <w:rsid w:val="00785DEA"/>
    <w:rsid w:val="00795053"/>
    <w:rsid w:val="007A0FEB"/>
    <w:rsid w:val="007A3AA2"/>
    <w:rsid w:val="007D4560"/>
    <w:rsid w:val="007D60E7"/>
    <w:rsid w:val="008320AB"/>
    <w:rsid w:val="00846AB0"/>
    <w:rsid w:val="00860473"/>
    <w:rsid w:val="0086408C"/>
    <w:rsid w:val="008942CB"/>
    <w:rsid w:val="00896BF2"/>
    <w:rsid w:val="008A3231"/>
    <w:rsid w:val="008B28C1"/>
    <w:rsid w:val="008C2723"/>
    <w:rsid w:val="008D57B0"/>
    <w:rsid w:val="008E6991"/>
    <w:rsid w:val="0092617E"/>
    <w:rsid w:val="00946398"/>
    <w:rsid w:val="009475EE"/>
    <w:rsid w:val="009530C4"/>
    <w:rsid w:val="009606C4"/>
    <w:rsid w:val="00967FAE"/>
    <w:rsid w:val="00975BB6"/>
    <w:rsid w:val="00987A55"/>
    <w:rsid w:val="009B3D28"/>
    <w:rsid w:val="009C0A07"/>
    <w:rsid w:val="009E1E23"/>
    <w:rsid w:val="00A17F86"/>
    <w:rsid w:val="00A266B6"/>
    <w:rsid w:val="00A73EAD"/>
    <w:rsid w:val="00A85B35"/>
    <w:rsid w:val="00A9161C"/>
    <w:rsid w:val="00A965F2"/>
    <w:rsid w:val="00AA177C"/>
    <w:rsid w:val="00AC6F55"/>
    <w:rsid w:val="00AE18F5"/>
    <w:rsid w:val="00AF7DE9"/>
    <w:rsid w:val="00B0715B"/>
    <w:rsid w:val="00B1641B"/>
    <w:rsid w:val="00B172BF"/>
    <w:rsid w:val="00B17C72"/>
    <w:rsid w:val="00B34679"/>
    <w:rsid w:val="00B417FB"/>
    <w:rsid w:val="00B45215"/>
    <w:rsid w:val="00B62E4F"/>
    <w:rsid w:val="00BB2E8D"/>
    <w:rsid w:val="00BC266F"/>
    <w:rsid w:val="00BD2CA4"/>
    <w:rsid w:val="00C270E3"/>
    <w:rsid w:val="00C66BF4"/>
    <w:rsid w:val="00C86B33"/>
    <w:rsid w:val="00CA5B05"/>
    <w:rsid w:val="00CF7F7F"/>
    <w:rsid w:val="00D117FD"/>
    <w:rsid w:val="00D41563"/>
    <w:rsid w:val="00D5297D"/>
    <w:rsid w:val="00D65A07"/>
    <w:rsid w:val="00D84F5C"/>
    <w:rsid w:val="00D851B9"/>
    <w:rsid w:val="00D87F11"/>
    <w:rsid w:val="00D916F8"/>
    <w:rsid w:val="00DC1F88"/>
    <w:rsid w:val="00DF5A6D"/>
    <w:rsid w:val="00E3545E"/>
    <w:rsid w:val="00E56F4A"/>
    <w:rsid w:val="00E73511"/>
    <w:rsid w:val="00E90649"/>
    <w:rsid w:val="00EA3A21"/>
    <w:rsid w:val="00EF4910"/>
    <w:rsid w:val="00F27B89"/>
    <w:rsid w:val="00F3402C"/>
    <w:rsid w:val="00F64A87"/>
    <w:rsid w:val="00F77DDF"/>
    <w:rsid w:val="00FA1CC8"/>
    <w:rsid w:val="00FB5E97"/>
    <w:rsid w:val="00FC25B9"/>
    <w:rsid w:val="00FD3B6C"/>
    <w:rsid w:val="00FE403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57C2E"/>
  <w15:docId w15:val="{16B524A4-7D3B-4511-BC48-9ED2CE37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563"/>
    <w:pPr>
      <w:spacing w:after="130" w:line="260" w:lineRule="atLeast"/>
    </w:pPr>
  </w:style>
  <w:style w:type="paragraph" w:styleId="Heading1">
    <w:name w:val="heading 1"/>
    <w:basedOn w:val="Normal"/>
    <w:next w:val="Normal"/>
    <w:link w:val="Heading1Char"/>
    <w:uiPriority w:val="9"/>
    <w:qFormat/>
    <w:rsid w:val="000C5B60"/>
    <w:pPr>
      <w:keepNext/>
      <w:keepLines/>
      <w:spacing w:after="400" w:line="400" w:lineRule="atLeast"/>
      <w:outlineLvl w:val="0"/>
    </w:pPr>
    <w:rPr>
      <w:rFonts w:asciiTheme="majorHAnsi" w:eastAsiaTheme="majorEastAsia" w:hAnsiTheme="majorHAnsi" w:cstheme="majorBidi"/>
      <w:bCs/>
      <w:color w:val="F1B434" w:themeColor="text2"/>
      <w:sz w:val="48"/>
      <w:szCs w:val="28"/>
    </w:rPr>
  </w:style>
  <w:style w:type="paragraph" w:styleId="Heading2">
    <w:name w:val="heading 2"/>
    <w:basedOn w:val="Normal"/>
    <w:next w:val="Normal"/>
    <w:link w:val="Heading2Char"/>
    <w:uiPriority w:val="9"/>
    <w:qFormat/>
    <w:rsid w:val="002E416B"/>
    <w:pPr>
      <w:keepNext/>
      <w:keepLines/>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E97"/>
    <w:rPr>
      <w:rFonts w:asciiTheme="majorHAnsi" w:eastAsiaTheme="majorEastAsia" w:hAnsiTheme="majorHAnsi" w:cstheme="majorBidi"/>
      <w:bCs/>
      <w:color w:val="F1B434" w:themeColor="text2"/>
      <w:sz w:val="48"/>
      <w:szCs w:val="28"/>
    </w:rPr>
  </w:style>
  <w:style w:type="character" w:customStyle="1" w:styleId="Heading2Char">
    <w:name w:val="Heading 2 Char"/>
    <w:basedOn w:val="DefaultParagraphFont"/>
    <w:link w:val="Heading2"/>
    <w:uiPriority w:val="9"/>
    <w:rsid w:val="00FB5E97"/>
    <w:rPr>
      <w:rFonts w:eastAsiaTheme="majorEastAsia" w:cstheme="majorBidi"/>
      <w:b/>
      <w:bCs/>
      <w:color w:val="000000" w:themeColor="text1"/>
      <w:sz w:val="24"/>
      <w:szCs w:val="26"/>
    </w:rPr>
  </w:style>
  <w:style w:type="paragraph" w:customStyle="1" w:styleId="Documenttitle">
    <w:name w:val="Document title"/>
    <w:basedOn w:val="Normal"/>
    <w:next w:val="Documentsubtitle"/>
    <w:qFormat/>
    <w:rsid w:val="00EF4910"/>
    <w:pPr>
      <w:spacing w:before="120" w:after="480" w:line="880" w:lineRule="exact"/>
      <w:ind w:left="851" w:right="454"/>
    </w:pPr>
    <w:rPr>
      <w:rFonts w:asciiTheme="majorHAnsi" w:hAnsiTheme="majorHAnsi"/>
      <w:color w:val="FFFFFF" w:themeColor="background1"/>
      <w:sz w:val="84"/>
    </w:rPr>
  </w:style>
  <w:style w:type="paragraph" w:styleId="Header">
    <w:name w:val="header"/>
    <w:basedOn w:val="Normal"/>
    <w:link w:val="HeaderChar"/>
    <w:uiPriority w:val="99"/>
    <w:rsid w:val="00311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E97"/>
    <w:rPr>
      <w:rFonts w:ascii="Calibri Light" w:hAnsi="Calibri Light"/>
    </w:rPr>
  </w:style>
  <w:style w:type="paragraph" w:styleId="Footer">
    <w:name w:val="footer"/>
    <w:basedOn w:val="Normal"/>
    <w:link w:val="FooterChar"/>
    <w:uiPriority w:val="99"/>
    <w:rsid w:val="00A17F86"/>
    <w:pPr>
      <w:tabs>
        <w:tab w:val="center" w:pos="4513"/>
        <w:tab w:val="right" w:pos="9026"/>
      </w:tabs>
      <w:spacing w:after="0" w:line="180" w:lineRule="exact"/>
    </w:pPr>
    <w:rPr>
      <w:sz w:val="18"/>
    </w:rPr>
  </w:style>
  <w:style w:type="character" w:customStyle="1" w:styleId="FooterChar">
    <w:name w:val="Footer Char"/>
    <w:basedOn w:val="DefaultParagraphFont"/>
    <w:link w:val="Footer"/>
    <w:uiPriority w:val="99"/>
    <w:rsid w:val="00A17F86"/>
    <w:rPr>
      <w:sz w:val="18"/>
    </w:rPr>
  </w:style>
  <w:style w:type="table" w:styleId="TableGrid">
    <w:name w:val="Table Grid"/>
    <w:basedOn w:val="TableNormal"/>
    <w:uiPriority w:val="59"/>
    <w:rsid w:val="0031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subtitle">
    <w:name w:val="Document subtitle"/>
    <w:basedOn w:val="Documenttitle"/>
    <w:next w:val="Documentstatus"/>
    <w:qFormat/>
    <w:rsid w:val="00896BF2"/>
    <w:pPr>
      <w:spacing w:line="400" w:lineRule="atLeast"/>
    </w:pPr>
    <w:rPr>
      <w:rFonts w:asciiTheme="minorHAnsi" w:hAnsiTheme="minorHAnsi"/>
      <w:sz w:val="40"/>
    </w:rPr>
  </w:style>
  <w:style w:type="paragraph" w:styleId="BalloonText">
    <w:name w:val="Balloon Text"/>
    <w:basedOn w:val="Normal"/>
    <w:link w:val="BalloonTextChar"/>
    <w:uiPriority w:val="99"/>
    <w:semiHidden/>
    <w:rsid w:val="009B3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E97"/>
    <w:rPr>
      <w:rFonts w:ascii="Tahoma" w:hAnsi="Tahoma" w:cs="Tahoma"/>
      <w:sz w:val="16"/>
      <w:szCs w:val="16"/>
    </w:rPr>
  </w:style>
  <w:style w:type="paragraph" w:customStyle="1" w:styleId="Introductiontext">
    <w:name w:val="Introduction text"/>
    <w:basedOn w:val="Heading1"/>
    <w:next w:val="Normal"/>
    <w:qFormat/>
    <w:rsid w:val="009C0A07"/>
    <w:pPr>
      <w:spacing w:line="340" w:lineRule="atLeast"/>
    </w:pPr>
    <w:rPr>
      <w:rFonts w:asciiTheme="minorHAnsi" w:hAnsiTheme="minorHAnsi"/>
      <w:color w:val="auto"/>
      <w:sz w:val="30"/>
    </w:rPr>
  </w:style>
  <w:style w:type="paragraph" w:customStyle="1" w:styleId="Questionheading">
    <w:name w:val="Question heading"/>
    <w:basedOn w:val="Normal"/>
    <w:next w:val="Responseintroductiontext"/>
    <w:qFormat/>
    <w:rsid w:val="000C5B60"/>
    <w:rPr>
      <w:rFonts w:asciiTheme="majorHAnsi" w:hAnsiTheme="majorHAnsi"/>
      <w:color w:val="F1B434" w:themeColor="text2"/>
      <w:sz w:val="28"/>
    </w:rPr>
  </w:style>
  <w:style w:type="paragraph" w:customStyle="1" w:styleId="Quotetext">
    <w:name w:val="Quote text"/>
    <w:basedOn w:val="Normal"/>
    <w:next w:val="Quotesource"/>
    <w:qFormat/>
    <w:rsid w:val="002E416B"/>
    <w:pPr>
      <w:spacing w:after="0" w:line="360" w:lineRule="atLeast"/>
    </w:pPr>
    <w:rPr>
      <w:b/>
      <w:color w:val="969B9D" w:themeColor="background2" w:themeTint="99"/>
      <w:sz w:val="34"/>
    </w:rPr>
  </w:style>
  <w:style w:type="paragraph" w:customStyle="1" w:styleId="Quotesource">
    <w:name w:val="Quote source"/>
    <w:basedOn w:val="Quotetext"/>
    <w:next w:val="Normal"/>
    <w:qFormat/>
    <w:rsid w:val="00752222"/>
    <w:pPr>
      <w:spacing w:after="130" w:line="300" w:lineRule="atLeast"/>
    </w:pPr>
    <w:rPr>
      <w:sz w:val="20"/>
    </w:rPr>
  </w:style>
  <w:style w:type="paragraph" w:customStyle="1" w:styleId="Contactdetails">
    <w:name w:val="Contact details"/>
    <w:basedOn w:val="Normal"/>
    <w:qFormat/>
    <w:rsid w:val="002E416B"/>
    <w:pPr>
      <w:spacing w:after="0" w:line="280" w:lineRule="atLeast"/>
      <w:ind w:left="567"/>
    </w:pPr>
    <w:rPr>
      <w:color w:val="FFFFFF" w:themeColor="background1"/>
      <w:sz w:val="24"/>
    </w:rPr>
  </w:style>
  <w:style w:type="paragraph" w:customStyle="1" w:styleId="Addressdetails">
    <w:name w:val="Address details"/>
    <w:basedOn w:val="Contactdetails"/>
    <w:qFormat/>
    <w:rsid w:val="002E416B"/>
    <w:pPr>
      <w:spacing w:line="220" w:lineRule="atLeast"/>
    </w:pPr>
    <w:rPr>
      <w:sz w:val="20"/>
    </w:rPr>
  </w:style>
  <w:style w:type="paragraph" w:styleId="ListBullet">
    <w:name w:val="List Bullet"/>
    <w:basedOn w:val="Normal"/>
    <w:uiPriority w:val="99"/>
    <w:qFormat/>
    <w:rsid w:val="00946398"/>
    <w:pPr>
      <w:numPr>
        <w:numId w:val="1"/>
      </w:numPr>
      <w:contextualSpacing/>
    </w:pPr>
  </w:style>
  <w:style w:type="paragraph" w:styleId="ListBullet2">
    <w:name w:val="List Bullet 2"/>
    <w:basedOn w:val="Normal"/>
    <w:uiPriority w:val="99"/>
    <w:qFormat/>
    <w:rsid w:val="0022292C"/>
    <w:pPr>
      <w:numPr>
        <w:numId w:val="2"/>
      </w:numPr>
      <w:contextualSpacing/>
    </w:pPr>
  </w:style>
  <w:style w:type="paragraph" w:styleId="ListNumber">
    <w:name w:val="List Number"/>
    <w:basedOn w:val="Normal"/>
    <w:uiPriority w:val="99"/>
    <w:qFormat/>
    <w:rsid w:val="00946398"/>
    <w:pPr>
      <w:numPr>
        <w:numId w:val="3"/>
      </w:numPr>
      <w:contextualSpacing/>
    </w:pPr>
  </w:style>
  <w:style w:type="paragraph" w:styleId="ListNumber2">
    <w:name w:val="List Number 2"/>
    <w:basedOn w:val="Normal"/>
    <w:uiPriority w:val="99"/>
    <w:qFormat/>
    <w:rsid w:val="00946398"/>
    <w:pPr>
      <w:numPr>
        <w:numId w:val="4"/>
      </w:numPr>
      <w:contextualSpacing/>
    </w:pPr>
  </w:style>
  <w:style w:type="paragraph" w:customStyle="1" w:styleId="Documentstatus">
    <w:name w:val="Document status"/>
    <w:basedOn w:val="Documentsubtitle"/>
    <w:next w:val="Documentdate"/>
    <w:qFormat/>
    <w:rsid w:val="00BD2CA4"/>
    <w:pPr>
      <w:spacing w:before="0" w:after="0" w:line="340" w:lineRule="atLeast"/>
    </w:pPr>
    <w:rPr>
      <w:sz w:val="30"/>
    </w:rPr>
  </w:style>
  <w:style w:type="paragraph" w:customStyle="1" w:styleId="Documentdate">
    <w:name w:val="Document date"/>
    <w:basedOn w:val="Documentstatus"/>
    <w:next w:val="Normal"/>
    <w:qFormat/>
    <w:rsid w:val="00B0715B"/>
  </w:style>
  <w:style w:type="paragraph" w:customStyle="1" w:styleId="Responseintroductiontext">
    <w:name w:val="Response introduction text"/>
    <w:basedOn w:val="Normal"/>
    <w:next w:val="Normal"/>
    <w:qFormat/>
    <w:rsid w:val="00100022"/>
  </w:style>
  <w:style w:type="paragraph" w:customStyle="1" w:styleId="Numberedparagraph">
    <w:name w:val="Numbered paragraph"/>
    <w:basedOn w:val="Normal"/>
    <w:qFormat/>
    <w:rsid w:val="0022292C"/>
    <w:pPr>
      <w:numPr>
        <w:numId w:val="5"/>
      </w:numPr>
      <w:ind w:left="340" w:hanging="340"/>
    </w:pPr>
  </w:style>
  <w:style w:type="paragraph" w:customStyle="1" w:styleId="Numbering-Alpha">
    <w:name w:val="Numbering - Alpha"/>
    <w:basedOn w:val="Normal"/>
    <w:qFormat/>
    <w:rsid w:val="009606C4"/>
    <w:pPr>
      <w:numPr>
        <w:numId w:val="6"/>
      </w:numPr>
      <w:ind w:left="680" w:hanging="340"/>
    </w:pPr>
  </w:style>
  <w:style w:type="paragraph" w:customStyle="1" w:styleId="Numbering-Roman">
    <w:name w:val="Numbering - Roman"/>
    <w:basedOn w:val="Normal"/>
    <w:qFormat/>
    <w:rsid w:val="009606C4"/>
    <w:pPr>
      <w:numPr>
        <w:numId w:val="7"/>
      </w:numPr>
      <w:ind w:left="1020" w:hanging="340"/>
    </w:pPr>
  </w:style>
  <w:style w:type="paragraph" w:customStyle="1" w:styleId="Paragraphheading">
    <w:name w:val="Paragraph heading"/>
    <w:basedOn w:val="Normal"/>
    <w:next w:val="Numberedparagraph"/>
    <w:qFormat/>
    <w:rsid w:val="00564083"/>
    <w:rPr>
      <w:b/>
    </w:rPr>
  </w:style>
  <w:style w:type="paragraph" w:styleId="FootnoteText">
    <w:name w:val="footnote text"/>
    <w:basedOn w:val="Normal"/>
    <w:link w:val="FootnoteTextChar"/>
    <w:uiPriority w:val="99"/>
    <w:semiHidden/>
    <w:unhideWhenUsed/>
    <w:rsid w:val="00074EAB"/>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074EAB"/>
    <w:rPr>
      <w:rFonts w:eastAsiaTheme="minorHAnsi"/>
      <w:sz w:val="20"/>
      <w:szCs w:val="20"/>
      <w:lang w:eastAsia="en-US"/>
    </w:rPr>
  </w:style>
  <w:style w:type="character" w:styleId="FootnoteReference">
    <w:name w:val="footnote reference"/>
    <w:basedOn w:val="DefaultParagraphFont"/>
    <w:uiPriority w:val="99"/>
    <w:semiHidden/>
    <w:unhideWhenUsed/>
    <w:rsid w:val="00074EAB"/>
    <w:rPr>
      <w:vertAlign w:val="superscript"/>
    </w:rPr>
  </w:style>
  <w:style w:type="character" w:styleId="Hyperlink">
    <w:name w:val="Hyperlink"/>
    <w:basedOn w:val="DefaultParagraphFont"/>
    <w:uiPriority w:val="99"/>
    <w:unhideWhenUsed/>
    <w:rsid w:val="00074EA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978991/Household_Resilience_Study_Wave_2_November-December_2020_Report.pdf" TargetMode="External"/><Relationship Id="rId2" Type="http://schemas.openxmlformats.org/officeDocument/2006/relationships/hyperlink" Target="https://www.cps.org.uk/research/from-smi-to-mortgage-support/" TargetMode="External"/><Relationship Id="rId1" Type="http://schemas.openxmlformats.org/officeDocument/2006/relationships/hyperlink" Target="https://www.smf.co.uk/publications/safe-as-hou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ERV06\BSA_TEMPLATES\BSA_Responses%201%20column%20template.dotm" TargetMode="External"/></Relationships>
</file>

<file path=word/theme/theme1.xml><?xml version="1.0" encoding="utf-8"?>
<a:theme xmlns:a="http://schemas.openxmlformats.org/drawingml/2006/main" name="BSAResYellow">
  <a:themeElements>
    <a:clrScheme name="BSA Colours - Yellow">
      <a:dk1>
        <a:sysClr val="windowText" lastClr="000000"/>
      </a:dk1>
      <a:lt1>
        <a:sysClr val="window" lastClr="FFFFFF"/>
      </a:lt1>
      <a:dk2>
        <a:srgbClr val="F1B434"/>
      </a:dk2>
      <a:lt2>
        <a:srgbClr val="54585A"/>
      </a:lt2>
      <a:accent1>
        <a:srgbClr val="003594"/>
      </a:accent1>
      <a:accent2>
        <a:srgbClr val="F1B434"/>
      </a:accent2>
      <a:accent3>
        <a:srgbClr val="64A70B"/>
      </a:accent3>
      <a:accent4>
        <a:srgbClr val="54585A"/>
      </a:accent4>
      <a:accent5>
        <a:srgbClr val="0091DA"/>
      </a:accent5>
      <a:accent6>
        <a:srgbClr val="DC582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B075C-BE7D-4E4F-ADB3-29654CA1D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BSA_Responses 1 column template.dotm</Template>
  <TotalTime>7</TotalTime>
  <Pages>4</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Tiger Eye Consulting Ltd</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Wise</dc:creator>
  <cp:keywords/>
  <dc:description/>
  <cp:lastModifiedBy>Katie Wise</cp:lastModifiedBy>
  <cp:revision>1</cp:revision>
  <dcterms:created xsi:type="dcterms:W3CDTF">2021-10-20T09:48:00Z</dcterms:created>
  <dcterms:modified xsi:type="dcterms:W3CDTF">2021-10-20T09:55:00Z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C:\Users\Jim Hanika\AppData\Roaming\Microsoft\Templates\Document Themes\Theme Colors\BSA Colours - Green.xml 011</vt:lpwstr>
  </property>
</Properties>
</file>