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Layout w:type="fixed"/>
        <w:tblCellMar>
          <w:left w:w="0" w:type="dxa"/>
          <w:right w:w="0" w:type="dxa"/>
        </w:tblCellMar>
        <w:tblLook w:val="04A0" w:firstRow="1" w:lastRow="0" w:firstColumn="1" w:lastColumn="0" w:noHBand="0" w:noVBand="1"/>
      </w:tblPr>
      <w:tblGrid>
        <w:gridCol w:w="7124"/>
        <w:gridCol w:w="2799"/>
      </w:tblGrid>
      <w:tr w:rsidR="00025E7D" w:rsidTr="00B805E0">
        <w:trPr>
          <w:trHeight w:hRule="exact" w:val="1814"/>
        </w:trPr>
        <w:tc>
          <w:tcPr>
            <w:tcW w:w="7124" w:type="dxa"/>
          </w:tcPr>
          <w:p w:rsidR="00025E7D" w:rsidRDefault="00025E7D" w:rsidP="00E577C3">
            <w:pPr>
              <w:pStyle w:val="ListNumber"/>
              <w:numPr>
                <w:ilvl w:val="0"/>
                <w:numId w:val="0"/>
              </w:numPr>
              <w:ind w:left="170" w:right="170"/>
            </w:pPr>
          </w:p>
        </w:tc>
        <w:tc>
          <w:tcPr>
            <w:tcW w:w="2799" w:type="dxa"/>
          </w:tcPr>
          <w:p w:rsidR="00C03821" w:rsidRDefault="00BC1E39" w:rsidP="00E577C3">
            <w:pPr>
              <w:pStyle w:val="Contactdetails"/>
              <w:ind w:left="170" w:right="170"/>
              <w:rPr>
                <w:szCs w:val="16"/>
              </w:rPr>
            </w:pPr>
            <w:bookmarkStart w:id="0" w:name="bmktxtDate"/>
            <w:r>
              <w:rPr>
                <w:szCs w:val="16"/>
              </w:rPr>
              <w:t>Februa</w:t>
            </w:r>
            <w:r w:rsidR="00490167">
              <w:rPr>
                <w:szCs w:val="16"/>
              </w:rPr>
              <w:t>ry</w:t>
            </w:r>
            <w:r w:rsidR="00FD2CF3">
              <w:rPr>
                <w:szCs w:val="16"/>
              </w:rPr>
              <w:t xml:space="preserve"> 20</w:t>
            </w:r>
            <w:bookmarkEnd w:id="0"/>
            <w:r w:rsidR="00490167">
              <w:rPr>
                <w:szCs w:val="16"/>
              </w:rPr>
              <w:t>20</w:t>
            </w:r>
          </w:p>
          <w:p w:rsidR="00C03821" w:rsidRPr="004E0D7A" w:rsidRDefault="00C03821" w:rsidP="00E577C3">
            <w:pPr>
              <w:pStyle w:val="Contactdetails"/>
              <w:ind w:left="170" w:right="170"/>
              <w:rPr>
                <w:szCs w:val="16"/>
              </w:rPr>
            </w:pPr>
          </w:p>
        </w:tc>
      </w:tr>
    </w:tbl>
    <w:p w:rsidR="00EE16D4" w:rsidRPr="00A4688C" w:rsidRDefault="00FD2CF3" w:rsidP="00E577C3">
      <w:pPr>
        <w:pStyle w:val="Documenttitle"/>
        <w:ind w:left="170" w:right="170"/>
        <w:rPr>
          <w:color w:val="6D6E71" w:themeColor="background2"/>
        </w:rPr>
      </w:pPr>
      <w:bookmarkStart w:id="1" w:name="doctitle"/>
      <w:r>
        <w:rPr>
          <w:color w:val="6D6E71" w:themeColor="background2"/>
        </w:rPr>
        <w:t>Market Update</w:t>
      </w:r>
      <w:bookmarkEnd w:id="1"/>
    </w:p>
    <w:tbl>
      <w:tblPr>
        <w:tblStyle w:val="TableGrid"/>
        <w:tblW w:w="10943" w:type="dxa"/>
        <w:tblLayout w:type="fixed"/>
        <w:tblCellMar>
          <w:left w:w="0" w:type="dxa"/>
          <w:right w:w="0" w:type="dxa"/>
        </w:tblCellMar>
        <w:tblLook w:val="04A0" w:firstRow="1" w:lastRow="0" w:firstColumn="1" w:lastColumn="0" w:noHBand="0" w:noVBand="1"/>
      </w:tblPr>
      <w:tblGrid>
        <w:gridCol w:w="1701"/>
        <w:gridCol w:w="3686"/>
        <w:gridCol w:w="5556"/>
      </w:tblGrid>
      <w:tr w:rsidR="004857EF" w:rsidTr="00F60F78">
        <w:trPr>
          <w:trHeight w:val="502"/>
        </w:trPr>
        <w:tc>
          <w:tcPr>
            <w:tcW w:w="1701" w:type="dxa"/>
          </w:tcPr>
          <w:p w:rsidR="004857EF" w:rsidRDefault="00FD2CF3" w:rsidP="004A3079">
            <w:pPr>
              <w:pStyle w:val="PaperType"/>
              <w:ind w:left="170" w:right="-138"/>
            </w:pPr>
            <w:bookmarkStart w:id="2" w:name="bmkCmboPaperType"/>
            <w:r>
              <w:rPr>
                <w:color w:val="C0C0C0"/>
              </w:rPr>
              <w:t>For information</w:t>
            </w:r>
            <w:bookmarkEnd w:id="2"/>
          </w:p>
        </w:tc>
        <w:tc>
          <w:tcPr>
            <w:tcW w:w="3686" w:type="dxa"/>
          </w:tcPr>
          <w:p w:rsidR="004857EF" w:rsidRDefault="004857EF" w:rsidP="00BC1E39">
            <w:pPr>
              <w:ind w:left="170" w:right="170"/>
            </w:pPr>
            <w:r>
              <w:t xml:space="preserve">             By </w:t>
            </w:r>
            <w:r w:rsidR="00BC1E39">
              <w:t>Andrew Gall</w:t>
            </w:r>
          </w:p>
        </w:tc>
        <w:tc>
          <w:tcPr>
            <w:tcW w:w="5556" w:type="dxa"/>
          </w:tcPr>
          <w:p w:rsidR="004857EF" w:rsidRDefault="004857EF" w:rsidP="00E577C3">
            <w:pPr>
              <w:ind w:left="170" w:right="170"/>
            </w:pPr>
          </w:p>
        </w:tc>
      </w:tr>
    </w:tbl>
    <w:p w:rsidR="00C200D9" w:rsidRPr="00983BC2" w:rsidRDefault="00C200D9" w:rsidP="00E577C3">
      <w:pPr>
        <w:ind w:left="170" w:right="170"/>
      </w:pPr>
    </w:p>
    <w:p w:rsidR="0034040D" w:rsidRPr="00C37810" w:rsidRDefault="00C37810" w:rsidP="0034040D">
      <w:pPr>
        <w:pStyle w:val="Resolvedheading"/>
        <w:numPr>
          <w:ilvl w:val="0"/>
          <w:numId w:val="21"/>
        </w:numPr>
        <w:ind w:left="170" w:right="170"/>
        <w:rPr>
          <w:b w:val="0"/>
          <w:caps w:val="0"/>
          <w:color w:val="auto"/>
        </w:rPr>
      </w:pPr>
      <w:r w:rsidRPr="00C37810">
        <w:rPr>
          <w:b w:val="0"/>
          <w:caps w:val="0"/>
          <w:color w:val="auto"/>
        </w:rPr>
        <w:t>Weak growth, despite recent survey data suggesting a post-Election pick up in confidence</w:t>
      </w:r>
    </w:p>
    <w:p w:rsidR="0034040D" w:rsidRPr="00C37810" w:rsidRDefault="00C37810" w:rsidP="0034040D">
      <w:pPr>
        <w:pStyle w:val="Resolvedheading"/>
        <w:numPr>
          <w:ilvl w:val="0"/>
          <w:numId w:val="21"/>
        </w:numPr>
        <w:ind w:left="170" w:right="170"/>
        <w:rPr>
          <w:b w:val="0"/>
          <w:caps w:val="0"/>
          <w:color w:val="auto"/>
        </w:rPr>
      </w:pPr>
      <w:r w:rsidRPr="00C37810">
        <w:rPr>
          <w:b w:val="0"/>
          <w:caps w:val="0"/>
          <w:color w:val="auto"/>
        </w:rPr>
        <w:t>Mortgage market flat in 2019 as competition remains intense</w:t>
      </w:r>
    </w:p>
    <w:p w:rsidR="000145BD" w:rsidRPr="00C37810" w:rsidRDefault="00C37810" w:rsidP="000145BD">
      <w:pPr>
        <w:pStyle w:val="Resolvedheading"/>
        <w:numPr>
          <w:ilvl w:val="0"/>
          <w:numId w:val="21"/>
        </w:numPr>
        <w:ind w:left="170" w:right="170"/>
        <w:rPr>
          <w:b w:val="0"/>
          <w:caps w:val="0"/>
          <w:color w:val="auto"/>
        </w:rPr>
      </w:pPr>
      <w:r>
        <w:rPr>
          <w:b w:val="0"/>
          <w:caps w:val="0"/>
          <w:color w:val="auto"/>
        </w:rPr>
        <w:t>Rising real pay and precautionary saving lead to strong deposit growth</w:t>
      </w:r>
      <w:r w:rsidR="000145BD" w:rsidRPr="00C37810">
        <w:rPr>
          <w:b w:val="0"/>
          <w:caps w:val="0"/>
          <w:color w:val="auto"/>
        </w:rPr>
        <w:br/>
      </w:r>
    </w:p>
    <w:p w:rsidR="000145BD" w:rsidRPr="00DE408E" w:rsidRDefault="00DE408E" w:rsidP="000145BD">
      <w:pPr>
        <w:pStyle w:val="Resolvedheading"/>
        <w:ind w:right="170"/>
      </w:pPr>
      <w:r w:rsidRPr="00DE408E">
        <w:rPr>
          <w:shd w:val="clear" w:color="auto" w:fill="FFFFFF" w:themeFill="background1"/>
        </w:rPr>
        <w:t>SURVEYS indicating pick up in confidence but outlook still subdued</w:t>
      </w:r>
    </w:p>
    <w:p w:rsidR="00D7368A" w:rsidRDefault="00CE69BA" w:rsidP="002E2521">
      <w:pPr>
        <w:pStyle w:val="ListNumber"/>
        <w:numPr>
          <w:ilvl w:val="0"/>
          <w:numId w:val="18"/>
        </w:numPr>
        <w:ind w:left="170" w:right="170"/>
      </w:pPr>
      <w:r>
        <w:t>The UK economy is not expected to have gro</w:t>
      </w:r>
      <w:r w:rsidR="00DC113D">
        <w:t>wn</w:t>
      </w:r>
      <w:r w:rsidR="002C13D9">
        <w:t xml:space="preserve"> much, if at all,</w:t>
      </w:r>
      <w:r w:rsidR="00DC113D">
        <w:t xml:space="preserve"> in the final quarter of 2019</w:t>
      </w:r>
      <w:r>
        <w:t xml:space="preserve"> due to the effect</w:t>
      </w:r>
      <w:r w:rsidR="002C13D9">
        <w:t>s</w:t>
      </w:r>
      <w:r>
        <w:t xml:space="preserve"> of</w:t>
      </w:r>
      <w:r w:rsidR="00DC113D">
        <w:t xml:space="preserve"> </w:t>
      </w:r>
      <w:proofErr w:type="spellStart"/>
      <w:r w:rsidR="00DC113D">
        <w:t>Brexit</w:t>
      </w:r>
      <w:proofErr w:type="spellEnd"/>
      <w:r w:rsidR="00DC113D">
        <w:t>-related</w:t>
      </w:r>
      <w:r>
        <w:t xml:space="preserve"> uncertainty as well as slow</w:t>
      </w:r>
      <w:r w:rsidR="002C13D9">
        <w:t>ing</w:t>
      </w:r>
      <w:r>
        <w:t xml:space="preserve"> global growth. </w:t>
      </w:r>
      <w:r w:rsidR="00DC113D">
        <w:t xml:space="preserve">Now, both of these factors have reduced: global growth has stabilised and the decisive General Election result has removed some of the question marks over </w:t>
      </w:r>
      <w:r w:rsidR="00D44A67">
        <w:t xml:space="preserve">the direction of </w:t>
      </w:r>
      <w:r w:rsidR="00DC113D">
        <w:t>policy</w:t>
      </w:r>
      <w:r w:rsidR="00D44A67">
        <w:t xml:space="preserve">, and </w:t>
      </w:r>
      <w:r w:rsidR="002C13D9">
        <w:t>the UK has now formally left the EU</w:t>
      </w:r>
      <w:r w:rsidR="00DC113D">
        <w:t>. Survey indicators suggest economic growth will pick up in the first quarter of 2020. However, growth is still expected to remain</w:t>
      </w:r>
      <w:r w:rsidR="00EA710E">
        <w:t xml:space="preserve"> relatively</w:t>
      </w:r>
      <w:r w:rsidR="00DC113D">
        <w:t xml:space="preserve"> weak in the year ahead</w:t>
      </w:r>
      <w:r w:rsidR="0087320F">
        <w:t>, with an average forecast of 1.1%</w:t>
      </w:r>
      <w:r w:rsidR="00DC113D">
        <w:t>.</w:t>
      </w:r>
      <w:r w:rsidR="002C13D9">
        <w:t xml:space="preserve"> Uncertainty remains about the shape of the </w:t>
      </w:r>
      <w:r w:rsidR="002C13D9" w:rsidRPr="009A1BAF">
        <w:t>UK’s future relationship with the EU</w:t>
      </w:r>
      <w:r w:rsidR="0080452A" w:rsidRPr="009A1BAF">
        <w:t xml:space="preserve">, weighing on business investment decisions, </w:t>
      </w:r>
      <w:r w:rsidR="0043200F" w:rsidRPr="009A1BAF">
        <w:t>and</w:t>
      </w:r>
      <w:r w:rsidR="00DE408E">
        <w:t xml:space="preserve"> C</w:t>
      </w:r>
      <w:r w:rsidR="00EA710E" w:rsidRPr="009A1BAF">
        <w:t>oronavirus will have an impact on global growth.</w:t>
      </w:r>
      <w:r w:rsidR="0087320F" w:rsidRPr="009A1BAF">
        <w:t xml:space="preserve"> </w:t>
      </w:r>
      <w:r w:rsidR="0043200F" w:rsidRPr="009A1BAF">
        <w:t xml:space="preserve">If the </w:t>
      </w:r>
      <w:r w:rsidR="009A1BAF">
        <w:t xml:space="preserve">recent </w:t>
      </w:r>
      <w:r w:rsidR="0043200F" w:rsidRPr="009A1BAF">
        <w:t xml:space="preserve">survey indicators do not translate into increased economic activity, the Monetary Policy Committee </w:t>
      </w:r>
      <w:r w:rsidR="0087320F" w:rsidRPr="009A1BAF">
        <w:t xml:space="preserve">(MPC) </w:t>
      </w:r>
      <w:r w:rsidR="0043200F" w:rsidRPr="009A1BAF">
        <w:t xml:space="preserve">may cut </w:t>
      </w:r>
      <w:r w:rsidR="00D7368A" w:rsidRPr="009A1BAF">
        <w:t xml:space="preserve">the </w:t>
      </w:r>
      <w:r w:rsidR="0043200F" w:rsidRPr="009A1BAF">
        <w:t>Bank Rate to</w:t>
      </w:r>
      <w:r w:rsidR="0043200F">
        <w:t xml:space="preserve"> support demand in the economy. </w:t>
      </w:r>
      <w:r w:rsidR="00E07EA7">
        <w:t>However, t</w:t>
      </w:r>
      <w:r w:rsidR="00673E76">
        <w:t xml:space="preserve">he Budget on 11 March is expected to </w:t>
      </w:r>
      <w:r w:rsidR="00E07EA7">
        <w:t>outline increased Government spending</w:t>
      </w:r>
      <w:r w:rsidR="004E6BCC">
        <w:t xml:space="preserve">, </w:t>
      </w:r>
      <w:r w:rsidR="00F93AB4">
        <w:t>supporting growth</w:t>
      </w:r>
      <w:r w:rsidR="00E07EA7">
        <w:t>.</w:t>
      </w:r>
    </w:p>
    <w:p w:rsidR="002C13D9" w:rsidRDefault="0043200F" w:rsidP="008C62B1">
      <w:pPr>
        <w:pStyle w:val="ListNumber"/>
        <w:numPr>
          <w:ilvl w:val="0"/>
          <w:numId w:val="18"/>
        </w:numPr>
        <w:ind w:left="170" w:right="170"/>
      </w:pPr>
      <w:r>
        <w:t>However, l</w:t>
      </w:r>
      <w:r w:rsidR="002C13D9">
        <w:t xml:space="preserve">ooking further ahead, the MPC’s </w:t>
      </w:r>
      <w:r w:rsidR="00D7368A">
        <w:t xml:space="preserve">recent </w:t>
      </w:r>
      <w:r w:rsidR="002C13D9">
        <w:t xml:space="preserve">forecasts assume that </w:t>
      </w:r>
      <w:r w:rsidR="00EA710E">
        <w:t>the persistent weakness of productivity growth in the UK</w:t>
      </w:r>
      <w:r w:rsidR="0087320F">
        <w:t xml:space="preserve"> (</w:t>
      </w:r>
      <w:r w:rsidR="00EA710E">
        <w:t xml:space="preserve">compounded by </w:t>
      </w:r>
      <w:proofErr w:type="spellStart"/>
      <w:r w:rsidR="00EA710E">
        <w:t>Brexit’s</w:t>
      </w:r>
      <w:proofErr w:type="spellEnd"/>
      <w:r w:rsidR="00EA710E">
        <w:t xml:space="preserve"> effect on business investment</w:t>
      </w:r>
      <w:r w:rsidR="0087320F">
        <w:t>)</w:t>
      </w:r>
      <w:r w:rsidR="00EA710E">
        <w:t xml:space="preserve"> means that the UK economy cannot grow very rapidly without generating inflationary pressure. </w:t>
      </w:r>
      <w:r w:rsidR="002254B6">
        <w:t>The MPC forecasts that the supply capacity of the economy will grow an average of 1.1% over the next three years, compared to 2.9%</w:t>
      </w:r>
      <w:r w:rsidR="005278B5">
        <w:t xml:space="preserve"> a year</w:t>
      </w:r>
      <w:r w:rsidR="002254B6">
        <w:t xml:space="preserve"> in the decade prior to 2007, and 1.6% from 2010-2018.  </w:t>
      </w:r>
      <w:r w:rsidR="00EA710E">
        <w:t>As a result</w:t>
      </w:r>
      <w:r w:rsidR="002254B6">
        <w:t xml:space="preserve">, even </w:t>
      </w:r>
      <w:r w:rsidR="00D7368A">
        <w:t>historically weak</w:t>
      </w:r>
      <w:r w:rsidR="00332C5B">
        <w:t xml:space="preserve"> rates of economic growth could, in time, </w:t>
      </w:r>
      <w:r w:rsidR="002254B6">
        <w:t>result in the Bank having to raise rates to bring inflation down to its 2% target.</w:t>
      </w:r>
      <w:r w:rsidR="00585CC3">
        <w:t xml:space="preserve"> The MPC has said that if the economy evolves in line with its forecasts over the next three years some modest tightening may be needed.</w:t>
      </w:r>
    </w:p>
    <w:p w:rsidR="0087320F" w:rsidRDefault="0087320F" w:rsidP="00250E5E">
      <w:pPr>
        <w:pStyle w:val="ListNumber"/>
        <w:numPr>
          <w:ilvl w:val="0"/>
          <w:numId w:val="18"/>
        </w:numPr>
        <w:ind w:left="170" w:right="170"/>
      </w:pPr>
      <w:r>
        <w:t>The labour market remains tight with a record high employment rate of 76.3</w:t>
      </w:r>
      <w:r w:rsidR="008225A4">
        <w:t>%</w:t>
      </w:r>
      <w:r w:rsidR="00DE408E">
        <w:t xml:space="preserve"> in Sept</w:t>
      </w:r>
      <w:r w:rsidR="002C2693">
        <w:t>ember</w:t>
      </w:r>
      <w:r w:rsidR="00DE408E">
        <w:t>-November 2019</w:t>
      </w:r>
      <w:r w:rsidR="008225A4">
        <w:t xml:space="preserve">, </w:t>
      </w:r>
      <w:r w:rsidR="00DE408E">
        <w:t>though the rise in the employment rate has levelled off in recent periods</w:t>
      </w:r>
      <w:r>
        <w:t xml:space="preserve">. </w:t>
      </w:r>
      <w:r w:rsidR="004A545C">
        <w:t>The u</w:t>
      </w:r>
      <w:r>
        <w:t xml:space="preserve">nemployment </w:t>
      </w:r>
      <w:r w:rsidR="004A545C">
        <w:t xml:space="preserve">rate </w:t>
      </w:r>
      <w:r>
        <w:t>w</w:t>
      </w:r>
      <w:r w:rsidR="004A545C">
        <w:t>as at a forty year low, at 3.8%. Employees’ regular pay grew by 3.4% in the year to</w:t>
      </w:r>
      <w:r w:rsidR="00B5583C">
        <w:t xml:space="preserve"> September to November 2019, </w:t>
      </w:r>
      <w:r w:rsidR="005278B5">
        <w:t xml:space="preserve">though this was lower than the </w:t>
      </w:r>
      <w:r w:rsidR="00B5583C">
        <w:t>3.9%</w:t>
      </w:r>
      <w:r w:rsidR="005278B5">
        <w:t xml:space="preserve"> seen</w:t>
      </w:r>
      <w:r w:rsidR="00B5583C">
        <w:t xml:space="preserve"> </w:t>
      </w:r>
      <w:r w:rsidR="005278B5">
        <w:t xml:space="preserve">in early summer </w:t>
      </w:r>
      <w:r w:rsidR="00B5583C">
        <w:t>last year.</w:t>
      </w:r>
    </w:p>
    <w:p w:rsidR="00DE408E" w:rsidRDefault="00434E9F" w:rsidP="00DE408E">
      <w:pPr>
        <w:pStyle w:val="ListNumber"/>
        <w:numPr>
          <w:ilvl w:val="0"/>
          <w:numId w:val="18"/>
        </w:numPr>
        <w:ind w:left="170" w:right="170"/>
      </w:pPr>
      <w:r>
        <w:t xml:space="preserve">Consumer prices grew by 1.3% </w:t>
      </w:r>
      <w:r w:rsidR="00DE408E">
        <w:t>over</w:t>
      </w:r>
      <w:r>
        <w:t xml:space="preserve"> the year to December, based on the CPI measure.</w:t>
      </w:r>
      <w:r w:rsidR="0080452A">
        <w:t xml:space="preserve"> Inflation continues to be </w:t>
      </w:r>
      <w:r w:rsidR="008225A4" w:rsidRPr="00C37810">
        <w:t>affected</w:t>
      </w:r>
      <w:r w:rsidR="0080452A" w:rsidRPr="00C37810">
        <w:t xml:space="preserve"> by regulatory price caps in the energy market</w:t>
      </w:r>
      <w:r w:rsidR="0087320F" w:rsidRPr="00C37810">
        <w:t xml:space="preserve">, </w:t>
      </w:r>
      <w:r w:rsidR="00C37810" w:rsidRPr="00C37810">
        <w:t>but also weak</w:t>
      </w:r>
      <w:r w:rsidR="005278B5" w:rsidRPr="00C37810">
        <w:t xml:space="preserve"> underlying</w:t>
      </w:r>
      <w:r w:rsidR="0087320F" w:rsidRPr="00C37810">
        <w:t xml:space="preserve"> inflation. The</w:t>
      </w:r>
      <w:r w:rsidR="0087320F">
        <w:t xml:space="preserve"> MPC </w:t>
      </w:r>
      <w:r w:rsidR="008225A4">
        <w:t>is investigating</w:t>
      </w:r>
      <w:r w:rsidR="0087320F">
        <w:t xml:space="preserve"> the</w:t>
      </w:r>
      <w:r w:rsidR="00C200D9">
        <w:t xml:space="preserve"> discrepancy between average earnings, which have grown relatively strongly in recent months, and why this hasn’t translated into </w:t>
      </w:r>
      <w:r w:rsidR="0087320F">
        <w:t>higher general price inflation.</w:t>
      </w:r>
      <w:r w:rsidR="008225A4">
        <w:t xml:space="preserve"> </w:t>
      </w:r>
      <w:r w:rsidR="00DE408E">
        <w:t>Part of the story is that c</w:t>
      </w:r>
      <w:r w:rsidR="008225A4">
        <w:t xml:space="preserve">onsumer-facing companies have reduced their profit margins. This may have been a one-off adjustment; </w:t>
      </w:r>
      <w:r w:rsidR="008225A4">
        <w:lastRenderedPageBreak/>
        <w:t>the start of an ongoing structural change reflecting technological changes; or that the labour market was not as tight as had been estimated. Which</w:t>
      </w:r>
      <w:r w:rsidR="00DE408E">
        <w:t xml:space="preserve"> of these</w:t>
      </w:r>
      <w:r w:rsidR="008225A4">
        <w:t xml:space="preserve"> applies has </w:t>
      </w:r>
      <w:r w:rsidR="00307696">
        <w:t>differing</w:t>
      </w:r>
      <w:r w:rsidR="00C200D9">
        <w:t xml:space="preserve"> implications </w:t>
      </w:r>
      <w:r w:rsidR="00A9760E">
        <w:t>for future monetary policy</w:t>
      </w:r>
      <w:r w:rsidR="00307696">
        <w:t xml:space="preserve"> in order to hit the 2% inflation target.</w:t>
      </w:r>
    </w:p>
    <w:p w:rsidR="003822E5" w:rsidRDefault="00252088" w:rsidP="003822E5">
      <w:pPr>
        <w:pStyle w:val="Resolvedheading"/>
      </w:pPr>
      <w:r w:rsidRPr="00DE408E">
        <w:t xml:space="preserve">Mortgage </w:t>
      </w:r>
      <w:r w:rsidR="00A9760E" w:rsidRPr="00DE408E">
        <w:t>marke</w:t>
      </w:r>
      <w:r w:rsidR="00C37810">
        <w:t xml:space="preserve">T </w:t>
      </w:r>
      <w:r w:rsidR="00C37810" w:rsidRPr="00C37810">
        <w:t>flat in 2019 as competition remains intense</w:t>
      </w:r>
      <w:r w:rsidR="00C37810">
        <w:t xml:space="preserve"> </w:t>
      </w:r>
    </w:p>
    <w:p w:rsidR="00D658B4" w:rsidRDefault="00D658B4" w:rsidP="003822E5">
      <w:pPr>
        <w:pStyle w:val="ListNumber"/>
        <w:numPr>
          <w:ilvl w:val="0"/>
          <w:numId w:val="18"/>
        </w:numPr>
        <w:ind w:left="170" w:right="170"/>
      </w:pPr>
      <w:r>
        <w:t xml:space="preserve">Gross mortgage lending in December was £22.3 billion, 7% higher than the </w:t>
      </w:r>
      <w:r w:rsidR="00854234">
        <w:t>same month a year earlier</w:t>
      </w:r>
      <w:r>
        <w:t xml:space="preserve">. Some buyers may have held off completing </w:t>
      </w:r>
      <w:r w:rsidR="006B0D2E">
        <w:t xml:space="preserve">transactions in prior weeks until the election result was clear. </w:t>
      </w:r>
      <w:r w:rsidR="006B0D2E" w:rsidRPr="00D658B4">
        <w:t xml:space="preserve">The number of mortgages approved in December were up 9% on </w:t>
      </w:r>
      <w:r w:rsidR="00854234">
        <w:t xml:space="preserve">December in the prior </w:t>
      </w:r>
      <w:r w:rsidR="006B0D2E" w:rsidRPr="00D658B4">
        <w:t>year.</w:t>
      </w:r>
    </w:p>
    <w:p w:rsidR="00D658B4" w:rsidRDefault="006B0D2E" w:rsidP="00E577C3">
      <w:pPr>
        <w:pStyle w:val="ListNumber"/>
        <w:numPr>
          <w:ilvl w:val="0"/>
          <w:numId w:val="18"/>
        </w:numPr>
        <w:ind w:left="170" w:right="170"/>
      </w:pPr>
      <w:r>
        <w:t>Over the course of th</w:t>
      </w:r>
      <w:r w:rsidR="00D658B4">
        <w:t xml:space="preserve">e </w:t>
      </w:r>
      <w:r w:rsidR="00673E76">
        <w:t>2019</w:t>
      </w:r>
      <w:r w:rsidR="00D658B4">
        <w:t xml:space="preserve">, gross mortgage lending was £268 billion, little changed from £269 billion in 2018. </w:t>
      </w:r>
      <w:r w:rsidR="00673E76">
        <w:t xml:space="preserve">There were almost 1.55 million mortgages approved in the UK last year, up just 1% from 2018. 51% of these loans were for house purchase, 38% were </w:t>
      </w:r>
      <w:proofErr w:type="spellStart"/>
      <w:r w:rsidR="00673E76">
        <w:t>remortgages</w:t>
      </w:r>
      <w:proofErr w:type="spellEnd"/>
      <w:r w:rsidR="00673E76">
        <w:t>, and 11% further and other advances. These proportions are unchanged from 2018.</w:t>
      </w:r>
    </w:p>
    <w:p w:rsidR="004B628A" w:rsidRDefault="008477BB" w:rsidP="008C4225">
      <w:pPr>
        <w:pStyle w:val="ListNumber"/>
        <w:numPr>
          <w:ilvl w:val="0"/>
          <w:numId w:val="18"/>
        </w:numPr>
        <w:ind w:left="170" w:right="170"/>
      </w:pPr>
      <w:r>
        <w:t xml:space="preserve">As in the wider economy, </w:t>
      </w:r>
      <w:r w:rsidR="006B0D2E">
        <w:t>RICS</w:t>
      </w:r>
      <w:r>
        <w:t>’</w:t>
      </w:r>
      <w:r w:rsidR="006B0D2E">
        <w:t xml:space="preserve"> </w:t>
      </w:r>
      <w:hyperlink r:id="rId8" w:history="1">
        <w:r w:rsidR="006B0D2E" w:rsidRPr="00A536C1">
          <w:rPr>
            <w:rStyle w:val="Hyperlink"/>
          </w:rPr>
          <w:t>survey</w:t>
        </w:r>
      </w:hyperlink>
      <w:r>
        <w:t xml:space="preserve"> indicated </w:t>
      </w:r>
      <w:r w:rsidR="00F1771C">
        <w:t>an improvement in sentiment after the General Election result.</w:t>
      </w:r>
      <w:r w:rsidR="00D5480C">
        <w:t xml:space="preserve"> </w:t>
      </w:r>
      <w:r w:rsidR="00A536C1">
        <w:t>Surveyors’ sales expectations rose sharply, while</w:t>
      </w:r>
      <w:r w:rsidR="00C229FF">
        <w:t xml:space="preserve"> estimates of</w:t>
      </w:r>
      <w:r w:rsidR="00A536C1">
        <w:t xml:space="preserve"> new buyer enquiries and instructions to sell turned positive.</w:t>
      </w:r>
      <w:r w:rsidR="004B628A">
        <w:t xml:space="preserve"> </w:t>
      </w:r>
      <w:r w:rsidR="00D5480C">
        <w:t xml:space="preserve">However, the low </w:t>
      </w:r>
      <w:r w:rsidR="004B628A">
        <w:t>stock</w:t>
      </w:r>
      <w:r w:rsidR="00D5480C">
        <w:t xml:space="preserve"> of properties on the market means that surveyors anticipate house price growth to accelerate.</w:t>
      </w:r>
      <w:r w:rsidR="00FF6F2D">
        <w:t xml:space="preserve"> </w:t>
      </w:r>
      <w:r w:rsidR="004B628A">
        <w:t>Nationwide’</w:t>
      </w:r>
      <w:r w:rsidR="00FF6F2D">
        <w:t xml:space="preserve">s index showed an increase in house price inflation in January, to 1.9% on an annual basis, from 1.4% in December. Results from the BSA’s Property Tracker survey have previously suggested that even if </w:t>
      </w:r>
      <w:proofErr w:type="spellStart"/>
      <w:r w:rsidR="00FF6F2D">
        <w:t>Brexit</w:t>
      </w:r>
      <w:proofErr w:type="spellEnd"/>
      <w:r w:rsidR="00FF6F2D">
        <w:t>-related uncertainty were removed, the constraints on borrower affordability would continue to limit the extent of bounce</w:t>
      </w:r>
      <w:r w:rsidR="00C229FF">
        <w:t>-</w:t>
      </w:r>
      <w:r w:rsidR="00FF6F2D">
        <w:t>back in activity.</w:t>
      </w:r>
    </w:p>
    <w:p w:rsidR="00584C77" w:rsidRDefault="00D617FF" w:rsidP="00246133">
      <w:pPr>
        <w:pStyle w:val="ListNumber"/>
        <w:numPr>
          <w:ilvl w:val="0"/>
          <w:numId w:val="18"/>
        </w:numPr>
        <w:ind w:left="170" w:right="170"/>
      </w:pPr>
      <w:hyperlink r:id="rId9" w:history="1">
        <w:r w:rsidR="00246133" w:rsidRPr="00246133">
          <w:rPr>
            <w:rStyle w:val="Hyperlink"/>
          </w:rPr>
          <w:t>A</w:t>
        </w:r>
        <w:r w:rsidR="00584C77" w:rsidRPr="00246133">
          <w:rPr>
            <w:rStyle w:val="Hyperlink"/>
          </w:rPr>
          <w:t>nalysis</w:t>
        </w:r>
      </w:hyperlink>
      <w:r w:rsidR="00584C77">
        <w:t xml:space="preserve"> from the</w:t>
      </w:r>
      <w:r w:rsidR="00246133">
        <w:t xml:space="preserve"> Resolution Foundation looks at the differential performance of regional</w:t>
      </w:r>
      <w:r w:rsidR="00584C77">
        <w:t xml:space="preserve"> house prices</w:t>
      </w:r>
      <w:r w:rsidR="00246133">
        <w:t>, with prices</w:t>
      </w:r>
      <w:r w:rsidR="00584C77">
        <w:t xml:space="preserve"> hav</w:t>
      </w:r>
      <w:r w:rsidR="00246133">
        <w:t>ing</w:t>
      </w:r>
      <w:r w:rsidR="00584C77">
        <w:t xml:space="preserve"> grown fastest</w:t>
      </w:r>
      <w:r w:rsidR="00246133">
        <w:t xml:space="preserve"> since 2016</w:t>
      </w:r>
      <w:r w:rsidR="00584C77">
        <w:t xml:space="preserve"> where they were lowest to begin with</w:t>
      </w:r>
      <w:r w:rsidR="00246133">
        <w:t>, as many regions closed the gap slightly to London and the South East.</w:t>
      </w:r>
    </w:p>
    <w:p w:rsidR="004B60B8" w:rsidRDefault="004B60B8" w:rsidP="007873E0">
      <w:pPr>
        <w:pStyle w:val="ListNumber"/>
        <w:numPr>
          <w:ilvl w:val="0"/>
          <w:numId w:val="18"/>
        </w:numPr>
        <w:ind w:left="170" w:right="170"/>
      </w:pPr>
      <w:r>
        <w:rPr>
          <w:noProof/>
          <w:lang w:eastAsia="en-GB"/>
        </w:rPr>
        <w:drawing>
          <wp:anchor distT="0" distB="0" distL="114300" distR="114300" simplePos="0" relativeHeight="251660288" behindDoc="0" locked="0" layoutInCell="1" allowOverlap="1">
            <wp:simplePos x="0" y="0"/>
            <wp:positionH relativeFrom="column">
              <wp:posOffset>1748790</wp:posOffset>
            </wp:positionH>
            <wp:positionV relativeFrom="paragraph">
              <wp:posOffset>10160</wp:posOffset>
            </wp:positionV>
            <wp:extent cx="3836035" cy="30099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6035" cy="3009900"/>
                    </a:xfrm>
                    <a:prstGeom prst="rect">
                      <a:avLst/>
                    </a:prstGeom>
                    <a:noFill/>
                  </pic:spPr>
                </pic:pic>
              </a:graphicData>
            </a:graphic>
            <wp14:sizeRelH relativeFrom="margin">
              <wp14:pctWidth>0</wp14:pctWidth>
            </wp14:sizeRelH>
            <wp14:sizeRelV relativeFrom="margin">
              <wp14:pctHeight>0</wp14:pctHeight>
            </wp14:sizeRelV>
          </wp:anchor>
        </w:drawing>
      </w:r>
      <w:r w:rsidR="00703FB3">
        <w:t>By</w:t>
      </w:r>
      <w:r w:rsidR="003C582C">
        <w:t xml:space="preserve"> Q3</w:t>
      </w:r>
      <w:r>
        <w:t xml:space="preserve"> 2019</w:t>
      </w:r>
      <w:r w:rsidR="003C582C">
        <w:t xml:space="preserve"> the proportion </w:t>
      </w:r>
      <w:r w:rsidR="00703FB3">
        <w:t>of lending at LTVs greater than 90% had increased to 6% of all new lending, its</w:t>
      </w:r>
      <w:r>
        <w:t xml:space="preserve"> highest level since the crisis (see chart). </w:t>
      </w:r>
      <w:r w:rsidR="00854234">
        <w:t xml:space="preserve">The </w:t>
      </w:r>
      <w:r w:rsidR="00F93AB4">
        <w:t xml:space="preserve">interest rate </w:t>
      </w:r>
      <w:r w:rsidR="00854234">
        <w:t>spread between high and low LTV lending has narrowed from its post crisis highs. However, even with the intensity of competition in the mortgage market, this spread remained steady in 2019, at around 50 basis points. This is roughly</w:t>
      </w:r>
      <w:r w:rsidR="003C582C">
        <w:t xml:space="preserve"> double the spread </w:t>
      </w:r>
      <w:r w:rsidR="00854234">
        <w:t>prior to the credit crunch</w:t>
      </w:r>
      <w:r>
        <w:t>.</w:t>
      </w:r>
    </w:p>
    <w:p w:rsidR="00506147" w:rsidRDefault="00506147" w:rsidP="007873E0">
      <w:pPr>
        <w:pStyle w:val="ListNumber"/>
        <w:numPr>
          <w:ilvl w:val="0"/>
          <w:numId w:val="18"/>
        </w:numPr>
        <w:ind w:left="170" w:right="170"/>
      </w:pPr>
      <w:r>
        <w:t>In its review of its mortgage market tools</w:t>
      </w:r>
      <w:r w:rsidR="00C33E13">
        <w:t xml:space="preserve"> in December</w:t>
      </w:r>
      <w:r>
        <w:t>, the FPC took solace that despite the intense competition in the mortgage market, the fact that its tools had not had more bite was evidence that underwriting standards had generally been maintained.</w:t>
      </w:r>
    </w:p>
    <w:p w:rsidR="009A55D1" w:rsidRDefault="009E1E96" w:rsidP="009A55D1">
      <w:pPr>
        <w:pStyle w:val="ListNumber"/>
        <w:numPr>
          <w:ilvl w:val="0"/>
          <w:numId w:val="18"/>
        </w:numPr>
        <w:ind w:left="170" w:right="170"/>
      </w:pPr>
      <w:r w:rsidRPr="009D41AA">
        <w:t xml:space="preserve">Average mortgage interest rates published by the Bank show that floating rates </w:t>
      </w:r>
      <w:r w:rsidR="009D41AA" w:rsidRPr="009D41AA">
        <w:t>rose slightly to 1.95% in Dec</w:t>
      </w:r>
      <w:r w:rsidR="00731903" w:rsidRPr="009D41AA">
        <w:t>ember from</w:t>
      </w:r>
      <w:r w:rsidRPr="009D41AA">
        <w:t xml:space="preserve"> 1.9</w:t>
      </w:r>
      <w:r w:rsidR="009D41AA" w:rsidRPr="009D41AA">
        <w:t>3</w:t>
      </w:r>
      <w:r w:rsidRPr="009D41AA">
        <w:t xml:space="preserve">% in </w:t>
      </w:r>
      <w:r w:rsidR="009D41AA" w:rsidRPr="009D41AA">
        <w:t>Novem</w:t>
      </w:r>
      <w:r w:rsidR="003D2E11" w:rsidRPr="009D41AA">
        <w:t>ber</w:t>
      </w:r>
      <w:r w:rsidR="00731903" w:rsidRPr="009D41AA">
        <w:t>. F</w:t>
      </w:r>
      <w:r w:rsidRPr="009D41AA">
        <w:t>ix</w:t>
      </w:r>
      <w:r w:rsidR="00101841" w:rsidRPr="009D41AA">
        <w:t>ed rates</w:t>
      </w:r>
      <w:r w:rsidR="00731903" w:rsidRPr="009D41AA">
        <w:t xml:space="preserve"> </w:t>
      </w:r>
      <w:r w:rsidR="009D41AA" w:rsidRPr="009D41AA">
        <w:t>were flat, at</w:t>
      </w:r>
      <w:r w:rsidR="00101841" w:rsidRPr="009D41AA">
        <w:t xml:space="preserve"> 1.</w:t>
      </w:r>
      <w:r w:rsidR="00731903" w:rsidRPr="009D41AA">
        <w:t>87</w:t>
      </w:r>
      <w:r w:rsidR="00101841" w:rsidRPr="009D41AA">
        <w:t>%</w:t>
      </w:r>
      <w:r w:rsidR="009D41AA" w:rsidRPr="009D41AA">
        <w:t>.</w:t>
      </w:r>
    </w:p>
    <w:p w:rsidR="00F93AB4" w:rsidRPr="009D41AA" w:rsidRDefault="00F93AB4" w:rsidP="00F93AB4">
      <w:pPr>
        <w:pStyle w:val="ListNumber"/>
        <w:numPr>
          <w:ilvl w:val="0"/>
          <w:numId w:val="0"/>
        </w:numPr>
        <w:ind w:left="170" w:right="170"/>
      </w:pPr>
    </w:p>
    <w:p w:rsidR="00C37810" w:rsidRPr="00C37810" w:rsidRDefault="00C37810" w:rsidP="00C37810">
      <w:pPr>
        <w:pStyle w:val="ListNumber"/>
        <w:numPr>
          <w:ilvl w:val="0"/>
          <w:numId w:val="0"/>
        </w:numPr>
        <w:ind w:left="360" w:hanging="360"/>
      </w:pPr>
      <w:r w:rsidRPr="00C37810">
        <w:rPr>
          <w:b/>
          <w:caps/>
          <w:color w:val="6D6E71" w:themeColor="background2"/>
        </w:rPr>
        <w:lastRenderedPageBreak/>
        <w:t xml:space="preserve">Rising real pay and precautionary saving lead to strong deposit growth </w:t>
      </w:r>
    </w:p>
    <w:p w:rsidR="00200BA4" w:rsidRDefault="00200BA4" w:rsidP="00506147">
      <w:pPr>
        <w:pStyle w:val="ListNumber"/>
        <w:ind w:left="170" w:right="170"/>
      </w:pPr>
      <w:r>
        <w:t>Households’ saving</w:t>
      </w:r>
      <w:r w:rsidR="00FC11BE">
        <w:t>s deposits grew by £64 billion i</w:t>
      </w:r>
      <w:r>
        <w:t xml:space="preserve">n 2019, compared to £47 billion in 2018, the largest annual increase for three years. This is due to earnings growing faster than price inflation, together with households increasing cash saving as a precaution against the </w:t>
      </w:r>
      <w:r w:rsidRPr="007A767E">
        <w:t>economic uncertainty and turbulence in the stock market at certain points in the year.</w:t>
      </w:r>
    </w:p>
    <w:p w:rsidR="00365740" w:rsidRPr="007A767E" w:rsidRDefault="00365740" w:rsidP="00DC5338">
      <w:pPr>
        <w:pStyle w:val="ListNumber"/>
        <w:ind w:left="170" w:right="170"/>
      </w:pPr>
      <w:r>
        <w:t>Investments into other asset classes were quite volatile through 2019, again reflecting the uncertain environment and geo-political tensions.</w:t>
      </w:r>
      <w:r w:rsidR="00A9046D">
        <w:t xml:space="preserve"> Up to November, </w:t>
      </w:r>
      <w:r w:rsidR="00F93AB4">
        <w:t xml:space="preserve">there were </w:t>
      </w:r>
      <w:r w:rsidR="00A9046D">
        <w:t>£11 billion of net sales of unit funds, according to the Investment Association, versus £8 billion in the whole of 2018. Equity and property funds had net withdrawals in 2019, with fixed income funds the asset class with the highes</w:t>
      </w:r>
      <w:bookmarkStart w:id="3" w:name="_GoBack"/>
      <w:bookmarkEnd w:id="3"/>
      <w:r w:rsidR="00A9046D">
        <w:t xml:space="preserve">t net sales. </w:t>
      </w:r>
    </w:p>
    <w:p w:rsidR="005B1E84" w:rsidRPr="007A767E" w:rsidRDefault="00537C9B" w:rsidP="00A77CBD">
      <w:pPr>
        <w:pStyle w:val="ListNumber"/>
        <w:ind w:left="170" w:right="170"/>
      </w:pPr>
      <w:r w:rsidRPr="007A767E">
        <w:t>Average savings rates</w:t>
      </w:r>
      <w:r w:rsidR="004C42FB" w:rsidRPr="007A767E">
        <w:t xml:space="preserve"> </w:t>
      </w:r>
      <w:r w:rsidRPr="007A767E">
        <w:t xml:space="preserve">published by the Bank shows </w:t>
      </w:r>
      <w:r w:rsidR="00964F16" w:rsidRPr="007A767E">
        <w:t>were broadly flat at 0.48% in December, from 0.47% in November</w:t>
      </w:r>
      <w:r w:rsidR="00091382" w:rsidRPr="007A767E">
        <w:t>.</w:t>
      </w:r>
      <w:r w:rsidRPr="007A767E">
        <w:t xml:space="preserve"> </w:t>
      </w:r>
      <w:r w:rsidR="00091382" w:rsidRPr="007A767E">
        <w:t>A</w:t>
      </w:r>
      <w:r w:rsidR="007D31C6" w:rsidRPr="007A767E">
        <w:t xml:space="preserve">verage </w:t>
      </w:r>
      <w:r w:rsidR="00964F16" w:rsidRPr="007A767E">
        <w:t>rates on</w:t>
      </w:r>
      <w:r w:rsidR="00365740">
        <w:t xml:space="preserve"> time</w:t>
      </w:r>
      <w:r w:rsidR="00964F16" w:rsidRPr="007A767E">
        <w:t xml:space="preserve"> </w:t>
      </w:r>
      <w:r w:rsidR="00365740">
        <w:t>(</w:t>
      </w:r>
      <w:r w:rsidR="00964F16" w:rsidRPr="007A767E">
        <w:t>fixed, notice and ISA</w:t>
      </w:r>
      <w:r w:rsidR="00365740">
        <w:t>)</w:t>
      </w:r>
      <w:r w:rsidR="00964F16" w:rsidRPr="007A767E">
        <w:t xml:space="preserve"> accounts</w:t>
      </w:r>
      <w:r w:rsidRPr="007A767E">
        <w:t xml:space="preserve"> </w:t>
      </w:r>
      <w:r w:rsidR="00091382" w:rsidRPr="007A767E">
        <w:t>fell</w:t>
      </w:r>
      <w:r w:rsidRPr="007A767E">
        <w:t xml:space="preserve"> to </w:t>
      </w:r>
      <w:r w:rsidR="00964F16" w:rsidRPr="007A767E">
        <w:t>0.97</w:t>
      </w:r>
      <w:r w:rsidRPr="007A767E">
        <w:t>%</w:t>
      </w:r>
      <w:r w:rsidR="00091382" w:rsidRPr="007A767E">
        <w:t xml:space="preserve"> in </w:t>
      </w:r>
      <w:r w:rsidR="00964F16" w:rsidRPr="007A767E">
        <w:t>Dec</w:t>
      </w:r>
      <w:r w:rsidR="00091382" w:rsidRPr="007A767E">
        <w:t xml:space="preserve">ember </w:t>
      </w:r>
      <w:r w:rsidRPr="007A767E">
        <w:t>from 1.</w:t>
      </w:r>
      <w:r w:rsidR="00091382" w:rsidRPr="007A767E">
        <w:t>1</w:t>
      </w:r>
      <w:r w:rsidR="00964F16" w:rsidRPr="007A767E">
        <w:t>2</w:t>
      </w:r>
      <w:r w:rsidRPr="007A767E">
        <w:t xml:space="preserve">% in </w:t>
      </w:r>
      <w:r w:rsidR="00964F16" w:rsidRPr="007A767E">
        <w:t>Novem</w:t>
      </w:r>
      <w:r w:rsidR="00091382" w:rsidRPr="007A767E">
        <w:t>ber</w:t>
      </w:r>
      <w:r w:rsidRPr="007A767E">
        <w:t>.</w:t>
      </w:r>
      <w:r w:rsidR="00964F16" w:rsidRPr="007A767E">
        <w:t xml:space="preserve"> Falls in the month were mainly in ISAs and 2 year fixed rate bonds.</w:t>
      </w:r>
    </w:p>
    <w:p w:rsidR="001B1DC5" w:rsidRDefault="00717D14" w:rsidP="00A77CBD">
      <w:pPr>
        <w:pStyle w:val="ListNumber"/>
        <w:ind w:left="170" w:right="170"/>
      </w:pPr>
      <w:r w:rsidRPr="007A767E">
        <w:t>From September this year</w:t>
      </w:r>
      <w:r>
        <w:t xml:space="preserve">, Child Trust Funds (CTFs) will start to mature as </w:t>
      </w:r>
      <w:r w:rsidR="001B1DC5">
        <w:t>the first account-</w:t>
      </w:r>
      <w:r>
        <w:t xml:space="preserve">holders turn 18. </w:t>
      </w:r>
      <w:r w:rsidR="001B1DC5">
        <w:t>All children born between 2002 and 2011 were given vouchers</w:t>
      </w:r>
      <w:r w:rsidR="00E047B7">
        <w:t xml:space="preserve"> </w:t>
      </w:r>
      <w:r w:rsidR="00351177">
        <w:t xml:space="preserve">by the Government </w:t>
      </w:r>
      <w:r w:rsidR="00E047B7">
        <w:t>of at least £250</w:t>
      </w:r>
      <w:r w:rsidR="00351177">
        <w:t xml:space="preserve"> with which</w:t>
      </w:r>
      <w:r w:rsidR="001B1DC5">
        <w:t xml:space="preserve"> to open an account.</w:t>
      </w:r>
      <w:r w:rsidR="00EA1301">
        <w:t xml:space="preserve"> </w:t>
      </w:r>
    </w:p>
    <w:p w:rsidR="001B1DC5" w:rsidRDefault="00EA1301" w:rsidP="00A77CBD">
      <w:pPr>
        <w:pStyle w:val="ListNumber"/>
        <w:ind w:left="170" w:right="170"/>
      </w:pPr>
      <w:r>
        <w:rPr>
          <w:noProof/>
          <w:lang w:eastAsia="en-GB"/>
        </w:rPr>
        <w:drawing>
          <wp:anchor distT="0" distB="0" distL="114300" distR="114300" simplePos="0" relativeHeight="251659264" behindDoc="0" locked="0" layoutInCell="1" allowOverlap="1">
            <wp:simplePos x="0" y="0"/>
            <wp:positionH relativeFrom="margin">
              <wp:posOffset>2510155</wp:posOffset>
            </wp:positionH>
            <wp:positionV relativeFrom="paragraph">
              <wp:posOffset>565150</wp:posOffset>
            </wp:positionV>
            <wp:extent cx="2759075" cy="217297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9075" cy="2172970"/>
                    </a:xfrm>
                    <a:prstGeom prst="rect">
                      <a:avLst/>
                    </a:prstGeom>
                    <a:noFill/>
                  </pic:spPr>
                </pic:pic>
              </a:graphicData>
            </a:graphic>
            <wp14:sizeRelH relativeFrom="margin">
              <wp14:pctWidth>0</wp14:pctWidth>
            </wp14:sizeRelH>
            <wp14:sizeRelV relativeFrom="margin">
              <wp14:pctHeight>0</wp14:pctHeight>
            </wp14:sizeRelV>
          </wp:anchor>
        </w:drawing>
      </w:r>
      <w:r w:rsidR="006B0D2E">
        <w:t xml:space="preserve">Over 6 million CTFs were opened. Of these, </w:t>
      </w:r>
      <w:r w:rsidR="004655B4">
        <w:t>5</w:t>
      </w:r>
      <w:r w:rsidR="006B0D2E">
        <w:t xml:space="preserve"> million </w:t>
      </w:r>
      <w:r w:rsidR="004655B4">
        <w:t>were invested in stocks and shares, within which</w:t>
      </w:r>
      <w:r w:rsidR="00717D14">
        <w:t xml:space="preserve"> </w:t>
      </w:r>
      <w:r w:rsidR="00351177">
        <w:t>almost</w:t>
      </w:r>
      <w:r w:rsidR="00717D14">
        <w:t xml:space="preserve"> </w:t>
      </w:r>
      <w:r w:rsidR="001B1DC5">
        <w:t>2 million</w:t>
      </w:r>
      <w:r w:rsidR="006B0D2E">
        <w:t xml:space="preserve"> were</w:t>
      </w:r>
      <w:r w:rsidR="00717D14">
        <w:t xml:space="preserve"> opened as </w:t>
      </w:r>
      <w:r w:rsidR="008477BB">
        <w:t>default</w:t>
      </w:r>
      <w:r w:rsidR="001B1DC5">
        <w:t xml:space="preserve"> accounts</w:t>
      </w:r>
      <w:r w:rsidR="00E047B7">
        <w:t xml:space="preserve"> when the vouchers expired</w:t>
      </w:r>
      <w:r w:rsidR="001B1DC5">
        <w:t>. Just over 1 million Cash CTFs were opened</w:t>
      </w:r>
      <w:r w:rsidR="00E047B7">
        <w:t xml:space="preserve"> and t</w:t>
      </w:r>
      <w:r w:rsidR="001B1DC5">
        <w:t>he building society sector accounted for about two thirds of these. In 2018, CTF balances at BSA members totalled almost £1 billion,</w:t>
      </w:r>
      <w:r w:rsidR="00F93AB4">
        <w:t xml:space="preserve"> with</w:t>
      </w:r>
      <w:r w:rsidR="001B1DC5">
        <w:t xml:space="preserve"> an average balance of around £1,400.</w:t>
      </w:r>
    </w:p>
    <w:p w:rsidR="003502DA" w:rsidRDefault="00AB68E3" w:rsidP="009D41AA">
      <w:pPr>
        <w:pStyle w:val="ListNumber"/>
        <w:ind w:left="170" w:right="170"/>
      </w:pPr>
      <w:r>
        <w:t xml:space="preserve">We have </w:t>
      </w:r>
      <w:r w:rsidR="00B72270">
        <w:t xml:space="preserve">recently </w:t>
      </w:r>
      <w:r>
        <w:t>seen a significant increase in page views on the BSA website</w:t>
      </w:r>
      <w:r w:rsidR="003502DA">
        <w:t>’s CTF consumer factsheet</w:t>
      </w:r>
      <w:r w:rsidR="00EA1301">
        <w:t xml:space="preserve"> (see chart),</w:t>
      </w:r>
      <w:r w:rsidR="006B0D2E">
        <w:t xml:space="preserve"> which has</w:t>
      </w:r>
      <w:r w:rsidR="00BB2300">
        <w:t xml:space="preserve"> become one of the most visited pages on our site</w:t>
      </w:r>
      <w:r w:rsidR="00B72270">
        <w:t>, possibly</w:t>
      </w:r>
      <w:r w:rsidR="003502DA">
        <w:t xml:space="preserve"> as current 17 year olds look ah</w:t>
      </w:r>
      <w:r w:rsidR="00EA1301">
        <w:t>ead to their birthday windfalls.</w:t>
      </w:r>
    </w:p>
    <w:p w:rsidR="007E5E62" w:rsidRDefault="007E5E62" w:rsidP="007E5E62">
      <w:pPr>
        <w:pStyle w:val="ListNumber"/>
        <w:numPr>
          <w:ilvl w:val="0"/>
          <w:numId w:val="0"/>
        </w:numPr>
        <w:ind w:left="360" w:right="170" w:hanging="360"/>
      </w:pPr>
    </w:p>
    <w:p w:rsidR="007A36B1" w:rsidRDefault="007A36B1" w:rsidP="007E5E62">
      <w:pPr>
        <w:pStyle w:val="ListNumber"/>
        <w:numPr>
          <w:ilvl w:val="0"/>
          <w:numId w:val="0"/>
        </w:numPr>
        <w:ind w:left="360" w:right="170" w:hanging="360"/>
      </w:pPr>
    </w:p>
    <w:p w:rsidR="007A36B1" w:rsidRDefault="007A36B1" w:rsidP="007E5E62">
      <w:pPr>
        <w:pStyle w:val="ListNumber"/>
        <w:numPr>
          <w:ilvl w:val="0"/>
          <w:numId w:val="0"/>
        </w:numPr>
        <w:ind w:left="360" w:right="170" w:hanging="360"/>
      </w:pPr>
    </w:p>
    <w:p w:rsidR="007A36B1" w:rsidRDefault="007A36B1" w:rsidP="007E5E62">
      <w:pPr>
        <w:pStyle w:val="ListNumber"/>
        <w:numPr>
          <w:ilvl w:val="0"/>
          <w:numId w:val="0"/>
        </w:numPr>
        <w:ind w:left="360" w:right="170" w:hanging="360"/>
      </w:pPr>
    </w:p>
    <w:p w:rsidR="007A36B1" w:rsidRDefault="007A36B1" w:rsidP="007E5E62">
      <w:pPr>
        <w:pStyle w:val="ListNumber"/>
        <w:numPr>
          <w:ilvl w:val="0"/>
          <w:numId w:val="0"/>
        </w:numPr>
        <w:ind w:left="360" w:right="170" w:hanging="360"/>
      </w:pPr>
    </w:p>
    <w:p w:rsidR="007A36B1" w:rsidRDefault="007A36B1" w:rsidP="007E5E62">
      <w:pPr>
        <w:pStyle w:val="ListNumber"/>
        <w:numPr>
          <w:ilvl w:val="0"/>
          <w:numId w:val="0"/>
        </w:numPr>
        <w:ind w:left="360" w:right="170" w:hanging="360"/>
      </w:pPr>
    </w:p>
    <w:p w:rsidR="007A36B1" w:rsidRDefault="007A36B1" w:rsidP="007E5E62">
      <w:pPr>
        <w:pStyle w:val="ListNumber"/>
        <w:numPr>
          <w:ilvl w:val="0"/>
          <w:numId w:val="0"/>
        </w:numPr>
        <w:ind w:left="360" w:right="170" w:hanging="360"/>
      </w:pPr>
    </w:p>
    <w:p w:rsidR="007A36B1" w:rsidRDefault="007A36B1" w:rsidP="007E5E62">
      <w:pPr>
        <w:pStyle w:val="ListNumber"/>
        <w:numPr>
          <w:ilvl w:val="0"/>
          <w:numId w:val="0"/>
        </w:numPr>
        <w:ind w:left="360" w:right="170" w:hanging="360"/>
      </w:pPr>
    </w:p>
    <w:p w:rsidR="007A36B1" w:rsidRDefault="007A36B1" w:rsidP="007E5E62">
      <w:pPr>
        <w:pStyle w:val="ListNumber"/>
        <w:numPr>
          <w:ilvl w:val="0"/>
          <w:numId w:val="0"/>
        </w:numPr>
        <w:ind w:left="360" w:right="170" w:hanging="360"/>
      </w:pPr>
    </w:p>
    <w:p w:rsidR="007A36B1" w:rsidRDefault="007A36B1" w:rsidP="007E5E62">
      <w:pPr>
        <w:pStyle w:val="ListNumber"/>
        <w:numPr>
          <w:ilvl w:val="0"/>
          <w:numId w:val="0"/>
        </w:numPr>
        <w:ind w:left="360" w:right="170" w:hanging="360"/>
      </w:pPr>
    </w:p>
    <w:p w:rsidR="007A36B1" w:rsidRDefault="007A36B1" w:rsidP="007E5E62">
      <w:pPr>
        <w:pStyle w:val="ListNumber"/>
        <w:numPr>
          <w:ilvl w:val="0"/>
          <w:numId w:val="0"/>
        </w:numPr>
        <w:ind w:left="360" w:right="170" w:hanging="360"/>
      </w:pPr>
    </w:p>
    <w:p w:rsidR="007A36B1" w:rsidRDefault="007A36B1" w:rsidP="007E5E62">
      <w:pPr>
        <w:pStyle w:val="ListNumber"/>
        <w:numPr>
          <w:ilvl w:val="0"/>
          <w:numId w:val="0"/>
        </w:numPr>
        <w:ind w:left="360" w:right="170" w:hanging="360"/>
      </w:pPr>
    </w:p>
    <w:p w:rsidR="00196F2A" w:rsidRPr="00286D5E" w:rsidRDefault="009A1BAF" w:rsidP="00A77CBD">
      <w:pPr>
        <w:pStyle w:val="Resolvedheading"/>
        <w:ind w:right="170"/>
      </w:pPr>
      <w:r>
        <w:lastRenderedPageBreak/>
        <w:t>DECEMBER</w:t>
      </w:r>
      <w:r w:rsidR="00C10183">
        <w:t xml:space="preserve"> 2019</w:t>
      </w:r>
    </w:p>
    <w:p w:rsidR="00535A93" w:rsidRDefault="009D41AA" w:rsidP="00E577C3">
      <w:pPr>
        <w:ind w:left="170" w:right="170"/>
      </w:pPr>
      <w:r w:rsidRPr="009D41AA">
        <w:rPr>
          <w:noProof/>
          <w:lang w:eastAsia="en-GB"/>
        </w:rPr>
        <w:drawing>
          <wp:inline distT="0" distB="0" distL="0" distR="0">
            <wp:extent cx="5267325" cy="1710289"/>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9629" cy="1711037"/>
                    </a:xfrm>
                    <a:prstGeom prst="rect">
                      <a:avLst/>
                    </a:prstGeom>
                    <a:noFill/>
                    <a:ln>
                      <a:noFill/>
                    </a:ln>
                  </pic:spPr>
                </pic:pic>
              </a:graphicData>
            </a:graphic>
          </wp:inline>
        </w:drawing>
      </w:r>
    </w:p>
    <w:p w:rsidR="009D41AA" w:rsidRDefault="009D41AA" w:rsidP="00E577C3">
      <w:pPr>
        <w:ind w:left="170" w:right="170"/>
      </w:pPr>
      <w:r w:rsidRPr="009D41AA">
        <w:rPr>
          <w:noProof/>
          <w:lang w:eastAsia="en-GB"/>
        </w:rPr>
        <w:drawing>
          <wp:inline distT="0" distB="0" distL="0" distR="0">
            <wp:extent cx="5514975" cy="169764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t="2786"/>
                    <a:stretch/>
                  </pic:blipFill>
                  <pic:spPr bwMode="auto">
                    <a:xfrm>
                      <a:off x="0" y="0"/>
                      <a:ext cx="5521135" cy="1699539"/>
                    </a:xfrm>
                    <a:prstGeom prst="rect">
                      <a:avLst/>
                    </a:prstGeom>
                    <a:noFill/>
                    <a:ln>
                      <a:noFill/>
                    </a:ln>
                    <a:extLst>
                      <a:ext uri="{53640926-AAD7-44D8-BBD7-CCE9431645EC}">
                        <a14:shadowObscured xmlns:a14="http://schemas.microsoft.com/office/drawing/2010/main"/>
                      </a:ext>
                    </a:extLst>
                  </pic:spPr>
                </pic:pic>
              </a:graphicData>
            </a:graphic>
          </wp:inline>
        </w:drawing>
      </w:r>
    </w:p>
    <w:p w:rsidR="009D41AA" w:rsidRDefault="009D41AA" w:rsidP="00E577C3">
      <w:pPr>
        <w:ind w:left="170" w:right="170"/>
      </w:pPr>
      <w:r w:rsidRPr="009D41AA">
        <w:rPr>
          <w:noProof/>
          <w:lang w:eastAsia="en-GB"/>
        </w:rPr>
        <w:drawing>
          <wp:inline distT="0" distB="0" distL="0" distR="0">
            <wp:extent cx="5095875" cy="1804239"/>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4140" cy="1807165"/>
                    </a:xfrm>
                    <a:prstGeom prst="rect">
                      <a:avLst/>
                    </a:prstGeom>
                    <a:noFill/>
                    <a:ln>
                      <a:noFill/>
                    </a:ln>
                  </pic:spPr>
                </pic:pic>
              </a:graphicData>
            </a:graphic>
          </wp:inline>
        </w:drawing>
      </w:r>
    </w:p>
    <w:p w:rsidR="009D41AA" w:rsidRDefault="009D41AA" w:rsidP="00E577C3">
      <w:pPr>
        <w:ind w:left="170" w:right="170"/>
      </w:pPr>
    </w:p>
    <w:p w:rsidR="00881ED2" w:rsidRDefault="009D41AA" w:rsidP="00E577C3">
      <w:pPr>
        <w:ind w:left="170" w:right="170"/>
      </w:pPr>
      <w:r w:rsidRPr="009D41AA">
        <w:rPr>
          <w:noProof/>
          <w:lang w:eastAsia="en-GB"/>
        </w:rPr>
        <w:drawing>
          <wp:inline distT="0" distB="0" distL="0" distR="0">
            <wp:extent cx="5295900" cy="3114919"/>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a:extLst>
                        <a:ext uri="{28A0092B-C50C-407E-A947-70E740481C1C}">
                          <a14:useLocalDpi xmlns:a14="http://schemas.microsoft.com/office/drawing/2010/main" val="0"/>
                        </a:ext>
                      </a:extLst>
                    </a:blip>
                    <a:srcRect t="1478"/>
                    <a:stretch/>
                  </pic:blipFill>
                  <pic:spPr bwMode="auto">
                    <a:xfrm>
                      <a:off x="0" y="0"/>
                      <a:ext cx="5301667" cy="3118311"/>
                    </a:xfrm>
                    <a:prstGeom prst="rect">
                      <a:avLst/>
                    </a:prstGeom>
                    <a:noFill/>
                    <a:ln>
                      <a:noFill/>
                    </a:ln>
                    <a:extLst>
                      <a:ext uri="{53640926-AAD7-44D8-BBD7-CCE9431645EC}">
                        <a14:shadowObscured xmlns:a14="http://schemas.microsoft.com/office/drawing/2010/main"/>
                      </a:ext>
                    </a:extLst>
                  </pic:spPr>
                </pic:pic>
              </a:graphicData>
            </a:graphic>
          </wp:inline>
        </w:drawing>
      </w:r>
    </w:p>
    <w:p w:rsidR="00C10183" w:rsidRPr="00D11D3C" w:rsidRDefault="00C10183" w:rsidP="00E577C3">
      <w:pPr>
        <w:pStyle w:val="Resolvedheading"/>
        <w:ind w:left="170" w:right="170"/>
      </w:pPr>
      <w:r w:rsidRPr="00496972">
        <w:lastRenderedPageBreak/>
        <w:t>Average economic forecasts</w:t>
      </w:r>
    </w:p>
    <w:p w:rsidR="00C10183" w:rsidRDefault="00746F69" w:rsidP="00E577C3">
      <w:pPr>
        <w:ind w:left="170" w:right="170"/>
      </w:pPr>
      <w:r w:rsidRPr="00EC412A">
        <w:t>Average independent forecasts for 2019 –</w:t>
      </w:r>
      <w:r w:rsidR="00FC11BE">
        <w:t xml:space="preserve">2020 compiled by HM Treasury in January 2020 and medium term forecasts for 2021- 2023 </w:t>
      </w:r>
      <w:r w:rsidRPr="00EC412A">
        <w:t xml:space="preserve">in </w:t>
      </w:r>
      <w:r>
        <w:t>December</w:t>
      </w:r>
      <w:r w:rsidRPr="00EC412A">
        <w:t xml:space="preserve"> 2019. For full details, see the Treasury website </w:t>
      </w:r>
      <w:hyperlink r:id="rId16" w:history="1">
        <w:r w:rsidRPr="00EC412A">
          <w:rPr>
            <w:rStyle w:val="Hyperlink"/>
          </w:rPr>
          <w:t>here</w:t>
        </w:r>
      </w:hyperlink>
      <w:r w:rsidRPr="00EC412A">
        <w:t>.</w:t>
      </w:r>
      <w:r>
        <w:t xml:space="preserve"> </w:t>
      </w:r>
      <w:r w:rsidR="007775DB">
        <w:t xml:space="preserve"> </w:t>
      </w:r>
    </w:p>
    <w:p w:rsidR="007775DB" w:rsidRDefault="00FC11BE" w:rsidP="007775DB">
      <w:pPr>
        <w:ind w:left="170" w:right="170"/>
      </w:pPr>
      <w:r w:rsidRPr="00FC11BE">
        <w:rPr>
          <w:noProof/>
          <w:lang w:eastAsia="en-GB"/>
        </w:rPr>
        <w:drawing>
          <wp:anchor distT="0" distB="0" distL="114300" distR="114300" simplePos="0" relativeHeight="251661312" behindDoc="0" locked="0" layoutInCell="1" allowOverlap="1">
            <wp:simplePos x="0" y="0"/>
            <wp:positionH relativeFrom="column">
              <wp:posOffset>-480695</wp:posOffset>
            </wp:positionH>
            <wp:positionV relativeFrom="paragraph">
              <wp:posOffset>0</wp:posOffset>
            </wp:positionV>
            <wp:extent cx="6446520" cy="6764837"/>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l="2293" r="3156"/>
                    <a:stretch/>
                  </pic:blipFill>
                  <pic:spPr bwMode="auto">
                    <a:xfrm>
                      <a:off x="0" y="0"/>
                      <a:ext cx="6446520" cy="6764837"/>
                    </a:xfrm>
                    <a:prstGeom prst="rect">
                      <a:avLst/>
                    </a:prstGeom>
                    <a:noFill/>
                    <a:ln>
                      <a:noFill/>
                    </a:ln>
                    <a:extLst>
                      <a:ext uri="{53640926-AAD7-44D8-BBD7-CCE9431645EC}">
                        <a14:shadowObscured xmlns:a14="http://schemas.microsoft.com/office/drawing/2010/main"/>
                      </a:ext>
                    </a:extLst>
                  </pic:spPr>
                </pic:pic>
              </a:graphicData>
            </a:graphic>
          </wp:anchor>
        </w:drawing>
      </w:r>
    </w:p>
    <w:p w:rsidR="003D4ADB" w:rsidRPr="005F63C2" w:rsidRDefault="00DE408E" w:rsidP="007775DB">
      <w:pPr>
        <w:ind w:left="170" w:right="170"/>
      </w:pPr>
      <w:r>
        <w:t>4 February</w:t>
      </w:r>
      <w:r w:rsidR="00746F69">
        <w:t xml:space="preserve"> 2020</w:t>
      </w:r>
    </w:p>
    <w:sectPr w:rsidR="003D4ADB" w:rsidRPr="005F63C2" w:rsidSect="00C702C7">
      <w:footerReference w:type="default" r:id="rId18"/>
      <w:headerReference w:type="first" r:id="rId19"/>
      <w:footerReference w:type="first" r:id="rId20"/>
      <w:pgSz w:w="11906" w:h="16838" w:code="9"/>
      <w:pgMar w:top="1021" w:right="1701" w:bottom="1418"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642" w:rsidRDefault="00077642" w:rsidP="00C702C7">
      <w:pPr>
        <w:spacing w:after="0" w:line="240" w:lineRule="auto"/>
      </w:pPr>
      <w:r>
        <w:separator/>
      </w:r>
    </w:p>
  </w:endnote>
  <w:endnote w:type="continuationSeparator" w:id="0">
    <w:p w:rsidR="00077642" w:rsidRDefault="00077642" w:rsidP="00C7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altName w:val="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CellMar>
        <w:left w:w="0" w:type="dxa"/>
        <w:right w:w="0" w:type="dxa"/>
      </w:tblCellMar>
      <w:tblLook w:val="04A0" w:firstRow="1" w:lastRow="0" w:firstColumn="1" w:lastColumn="0" w:noHBand="0" w:noVBand="1"/>
    </w:tblPr>
    <w:tblGrid>
      <w:gridCol w:w="4252"/>
      <w:gridCol w:w="4252"/>
    </w:tblGrid>
    <w:tr w:rsidR="00077642" w:rsidTr="003D4ADB">
      <w:tc>
        <w:tcPr>
          <w:tcW w:w="2500" w:type="pct"/>
        </w:tcPr>
        <w:p w:rsidR="00077642" w:rsidRDefault="00077642" w:rsidP="003D4ADB">
          <w:pPr>
            <w:pStyle w:val="Footer"/>
          </w:pPr>
        </w:p>
      </w:tc>
      <w:tc>
        <w:tcPr>
          <w:tcW w:w="2500" w:type="pct"/>
          <w:hideMark/>
        </w:tcPr>
        <w:p w:rsidR="00077642" w:rsidRDefault="00077642" w:rsidP="003D4ADB">
          <w:pPr>
            <w:pStyle w:val="Footer"/>
            <w:jc w:val="right"/>
          </w:pPr>
          <w:r>
            <w:fldChar w:fldCharType="begin"/>
          </w:r>
          <w:r>
            <w:instrText xml:space="preserve"> IF </w:instrText>
          </w:r>
          <w:r>
            <w:rPr>
              <w:noProof/>
            </w:rPr>
            <w:fldChar w:fldCharType="begin"/>
          </w:r>
          <w:r>
            <w:rPr>
              <w:noProof/>
            </w:rPr>
            <w:instrText xml:space="preserve"> NUMPAGES </w:instrText>
          </w:r>
          <w:r>
            <w:rPr>
              <w:noProof/>
            </w:rPr>
            <w:fldChar w:fldCharType="separate"/>
          </w:r>
          <w:r w:rsidR="00D617FF">
            <w:rPr>
              <w:noProof/>
            </w:rPr>
            <w:instrText>5</w:instrText>
          </w:r>
          <w:r>
            <w:rPr>
              <w:noProof/>
            </w:rPr>
            <w:fldChar w:fldCharType="end"/>
          </w:r>
          <w:r>
            <w:instrText xml:space="preserve"> &gt; 1 "</w:instrText>
          </w:r>
          <w:r>
            <w:fldChar w:fldCharType="begin"/>
          </w:r>
          <w:r>
            <w:instrText xml:space="preserve"> PAGE </w:instrText>
          </w:r>
          <w:r>
            <w:fldChar w:fldCharType="separate"/>
          </w:r>
          <w:r w:rsidR="00D617FF">
            <w:rPr>
              <w:noProof/>
            </w:rPr>
            <w:instrText>2</w:instrText>
          </w:r>
          <w:r>
            <w:fldChar w:fldCharType="end"/>
          </w:r>
          <w:r>
            <w:instrText>/</w:instrText>
          </w:r>
          <w:r>
            <w:rPr>
              <w:noProof/>
            </w:rPr>
            <w:fldChar w:fldCharType="begin"/>
          </w:r>
          <w:r>
            <w:rPr>
              <w:noProof/>
            </w:rPr>
            <w:instrText xml:space="preserve"> NUMPAGES </w:instrText>
          </w:r>
          <w:r>
            <w:rPr>
              <w:noProof/>
            </w:rPr>
            <w:fldChar w:fldCharType="separate"/>
          </w:r>
          <w:r w:rsidR="00D617FF">
            <w:rPr>
              <w:noProof/>
            </w:rPr>
            <w:instrText>5</w:instrText>
          </w:r>
          <w:r>
            <w:rPr>
              <w:noProof/>
            </w:rPr>
            <w:fldChar w:fldCharType="end"/>
          </w:r>
          <w:r>
            <w:instrText xml:space="preserve">" \* MERGEFORMAT </w:instrText>
          </w:r>
          <w:r>
            <w:fldChar w:fldCharType="separate"/>
          </w:r>
          <w:r w:rsidR="00D617FF">
            <w:rPr>
              <w:noProof/>
            </w:rPr>
            <w:t>2/5</w:t>
          </w:r>
          <w:r>
            <w:fldChar w:fldCharType="end"/>
          </w:r>
        </w:p>
      </w:tc>
    </w:tr>
  </w:tbl>
  <w:p w:rsidR="00077642" w:rsidRPr="003D4ADB" w:rsidRDefault="00077642" w:rsidP="003D4ADB">
    <w:pPr>
      <w:pStyle w:val="Footer"/>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642" w:rsidRDefault="00077642">
    <w:pPr>
      <w:pStyle w:val="Footer"/>
    </w:pPr>
    <w:r>
      <w:rPr>
        <w:noProof/>
        <w:lang w:eastAsia="en-GB"/>
      </w:rPr>
      <w:drawing>
        <wp:anchor distT="0" distB="0" distL="114300" distR="114300" simplePos="0" relativeHeight="251659264" behindDoc="0" locked="1" layoutInCell="1" allowOverlap="1" wp14:anchorId="082832B3" wp14:editId="092DBEF8">
          <wp:simplePos x="0" y="0"/>
          <wp:positionH relativeFrom="column">
            <wp:posOffset>0</wp:posOffset>
          </wp:positionH>
          <wp:positionV relativeFrom="page">
            <wp:posOffset>10153015</wp:posOffset>
          </wp:positionV>
          <wp:extent cx="1796400" cy="33840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Company Addre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400" cy="33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5000" w:type="pct"/>
      <w:tblCellMar>
        <w:left w:w="0" w:type="dxa"/>
        <w:right w:w="0" w:type="dxa"/>
      </w:tblCellMar>
      <w:tblLook w:val="04A0" w:firstRow="1" w:lastRow="0" w:firstColumn="1" w:lastColumn="0" w:noHBand="0" w:noVBand="1"/>
    </w:tblPr>
    <w:tblGrid>
      <w:gridCol w:w="4252"/>
      <w:gridCol w:w="4252"/>
    </w:tblGrid>
    <w:tr w:rsidR="00077642" w:rsidTr="003D4ADB">
      <w:tc>
        <w:tcPr>
          <w:tcW w:w="2500" w:type="pct"/>
        </w:tcPr>
        <w:p w:rsidR="00077642" w:rsidRDefault="00077642" w:rsidP="003D4ADB">
          <w:pPr>
            <w:pStyle w:val="Footer"/>
          </w:pPr>
        </w:p>
      </w:tc>
      <w:tc>
        <w:tcPr>
          <w:tcW w:w="2500" w:type="pct"/>
          <w:hideMark/>
        </w:tcPr>
        <w:p w:rsidR="00077642" w:rsidRDefault="00077642" w:rsidP="003D4ADB">
          <w:pPr>
            <w:pStyle w:val="Footer"/>
            <w:jc w:val="right"/>
          </w:pPr>
          <w:r>
            <w:fldChar w:fldCharType="begin"/>
          </w:r>
          <w:r>
            <w:instrText xml:space="preserve"> IF </w:instrText>
          </w:r>
          <w:r>
            <w:rPr>
              <w:noProof/>
            </w:rPr>
            <w:fldChar w:fldCharType="begin"/>
          </w:r>
          <w:r>
            <w:rPr>
              <w:noProof/>
            </w:rPr>
            <w:instrText xml:space="preserve"> NUMPAGES </w:instrText>
          </w:r>
          <w:r>
            <w:rPr>
              <w:noProof/>
            </w:rPr>
            <w:fldChar w:fldCharType="separate"/>
          </w:r>
          <w:r w:rsidR="002C2693">
            <w:rPr>
              <w:noProof/>
            </w:rPr>
            <w:instrText>5</w:instrText>
          </w:r>
          <w:r>
            <w:rPr>
              <w:noProof/>
            </w:rPr>
            <w:fldChar w:fldCharType="end"/>
          </w:r>
          <w:r>
            <w:instrText xml:space="preserve"> &gt; 1 "</w:instrText>
          </w:r>
          <w:r>
            <w:fldChar w:fldCharType="begin"/>
          </w:r>
          <w:r>
            <w:instrText xml:space="preserve"> PAGE </w:instrText>
          </w:r>
          <w:r>
            <w:fldChar w:fldCharType="separate"/>
          </w:r>
          <w:r w:rsidR="002C2693">
            <w:rPr>
              <w:noProof/>
            </w:rPr>
            <w:instrText>1</w:instrText>
          </w:r>
          <w:r>
            <w:fldChar w:fldCharType="end"/>
          </w:r>
          <w:r>
            <w:instrText>/</w:instrText>
          </w:r>
          <w:r>
            <w:rPr>
              <w:noProof/>
            </w:rPr>
            <w:fldChar w:fldCharType="begin"/>
          </w:r>
          <w:r>
            <w:rPr>
              <w:noProof/>
            </w:rPr>
            <w:instrText xml:space="preserve"> NUMPAGES </w:instrText>
          </w:r>
          <w:r>
            <w:rPr>
              <w:noProof/>
            </w:rPr>
            <w:fldChar w:fldCharType="separate"/>
          </w:r>
          <w:r w:rsidR="002C2693">
            <w:rPr>
              <w:noProof/>
            </w:rPr>
            <w:instrText>5</w:instrText>
          </w:r>
          <w:r>
            <w:rPr>
              <w:noProof/>
            </w:rPr>
            <w:fldChar w:fldCharType="end"/>
          </w:r>
          <w:r>
            <w:instrText xml:space="preserve">" \* MERGEFORMAT </w:instrText>
          </w:r>
          <w:r w:rsidR="00C37810">
            <w:fldChar w:fldCharType="separate"/>
          </w:r>
          <w:r w:rsidR="002C2693">
            <w:rPr>
              <w:noProof/>
            </w:rPr>
            <w:t>1/5</w:t>
          </w:r>
          <w:r>
            <w:fldChar w:fldCharType="end"/>
          </w:r>
        </w:p>
      </w:tc>
    </w:tr>
  </w:tbl>
  <w:p w:rsidR="00077642" w:rsidRPr="003D4ADB" w:rsidRDefault="00077642" w:rsidP="003D4ADB">
    <w:pPr>
      <w:pStyle w:val="Footer"/>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642" w:rsidRDefault="00077642" w:rsidP="00C702C7">
      <w:pPr>
        <w:spacing w:after="0" w:line="240" w:lineRule="auto"/>
      </w:pPr>
      <w:r>
        <w:separator/>
      </w:r>
    </w:p>
  </w:footnote>
  <w:footnote w:type="continuationSeparator" w:id="0">
    <w:p w:rsidR="00077642" w:rsidRDefault="00077642" w:rsidP="00C7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642" w:rsidRDefault="00077642">
    <w:pPr>
      <w:pStyle w:val="Header"/>
    </w:pPr>
    <w:r>
      <w:rPr>
        <w:noProof/>
        <w:lang w:eastAsia="en-GB"/>
      </w:rPr>
      <mc:AlternateContent>
        <mc:Choice Requires="wps">
          <w:drawing>
            <wp:anchor distT="0" distB="0" distL="114300" distR="114300" simplePos="0" relativeHeight="251661312" behindDoc="0" locked="1" layoutInCell="1" allowOverlap="1" wp14:anchorId="4D80A4DD" wp14:editId="5B41A1B4">
              <wp:simplePos x="0" y="0"/>
              <wp:positionH relativeFrom="page">
                <wp:align>right</wp:align>
              </wp:positionH>
              <wp:positionV relativeFrom="page">
                <wp:posOffset>0</wp:posOffset>
              </wp:positionV>
              <wp:extent cx="144000" cy="10692000"/>
              <wp:effectExtent l="0" t="0" r="8890" b="0"/>
              <wp:wrapNone/>
              <wp:docPr id="2" name="Sidebar"/>
              <wp:cNvGraphicFramePr/>
              <a:graphic xmlns:a="http://schemas.openxmlformats.org/drawingml/2006/main">
                <a:graphicData uri="http://schemas.microsoft.com/office/word/2010/wordprocessingShape">
                  <wps:wsp>
                    <wps:cNvSpPr/>
                    <wps:spPr>
                      <a:xfrm>
                        <a:off x="0" y="0"/>
                        <a:ext cx="144000" cy="10692000"/>
                      </a:xfrm>
                      <a:prstGeom prst="rect">
                        <a:avLst/>
                      </a:prstGeom>
                      <a:solidFill>
                        <a:srgbClr val="64A70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B9FA5" id="Sidebar" o:spid="_x0000_s1026" style="position:absolute;margin-left:-39.85pt;margin-top:0;width:11.35pt;height:841.9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" fillcolor="#64a70b" stroked="f" strokeweight="2pt">
              <v:textbox inset="0,0,0,0"/>
              <w10:wrap anchorx="page" anchory="page"/>
              <w10:anchorlock/>
            </v:rect>
          </w:pict>
        </mc:Fallback>
      </mc:AlternateContent>
    </w:r>
    <w:r w:rsidRPr="00501CAA">
      <w:rPr>
        <w:noProof/>
        <w:lang w:eastAsia="en-GB"/>
      </w:rPr>
      <w:drawing>
        <wp:anchor distT="0" distB="0" distL="114300" distR="114300" simplePos="0" relativeHeight="251662336" behindDoc="0" locked="0" layoutInCell="1" allowOverlap="1" wp14:anchorId="34EDF2A4" wp14:editId="44DA888B">
          <wp:simplePos x="0" y="0"/>
          <wp:positionH relativeFrom="page">
            <wp:posOffset>485775</wp:posOffset>
          </wp:positionH>
          <wp:positionV relativeFrom="page">
            <wp:posOffset>485775</wp:posOffset>
          </wp:positionV>
          <wp:extent cx="2772000" cy="914400"/>
          <wp:effectExtent l="0" t="0" r="952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772000" cy="9144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9D4292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44C6DCC4"/>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BACAA16"/>
    <w:lvl w:ilvl="0">
      <w:start w:val="1"/>
      <w:numFmt w:val="decimal"/>
      <w:pStyle w:val="ListNumber"/>
      <w:lvlText w:val="%1."/>
      <w:lvlJc w:val="left"/>
      <w:pPr>
        <w:ind w:left="360" w:hanging="360"/>
      </w:pPr>
    </w:lvl>
  </w:abstractNum>
  <w:abstractNum w:abstractNumId="3" w15:restartNumberingAfterBreak="0">
    <w:nsid w:val="FFFFFF89"/>
    <w:multiLevelType w:val="singleLevel"/>
    <w:tmpl w:val="616CC85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8995495"/>
    <w:multiLevelType w:val="hybridMultilevel"/>
    <w:tmpl w:val="4558B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6" w15:restartNumberingAfterBreak="0">
    <w:nsid w:val="1FF93A5B"/>
    <w:multiLevelType w:val="hybridMultilevel"/>
    <w:tmpl w:val="F05478A8"/>
    <w:lvl w:ilvl="0" w:tplc="388CBC52">
      <w:start w:val="1"/>
      <w:numFmt w:val="lowerRoman"/>
      <w:pStyle w:val="Numbering-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02335F"/>
    <w:multiLevelType w:val="hybridMultilevel"/>
    <w:tmpl w:val="0E204414"/>
    <w:lvl w:ilvl="0" w:tplc="4AE48BD0">
      <w:start w:val="1"/>
      <w:numFmt w:val="lowerLetter"/>
      <w:pStyle w:val="Numbering-Alph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0" w15:restartNumberingAfterBreak="0">
    <w:nsid w:val="4B763CE0"/>
    <w:multiLevelType w:val="multilevel"/>
    <w:tmpl w:val="18E6B2D8"/>
    <w:numStyleLink w:val="BSAnumlist"/>
  </w:abstractNum>
  <w:abstractNum w:abstractNumId="11" w15:restartNumberingAfterBreak="0">
    <w:nsid w:val="4BAF3EBA"/>
    <w:multiLevelType w:val="multilevel"/>
    <w:tmpl w:val="71AA05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E5A137F"/>
    <w:multiLevelType w:val="hybridMultilevel"/>
    <w:tmpl w:val="365CB200"/>
    <w:lvl w:ilvl="0" w:tplc="67E6455E">
      <w:start w:val="1"/>
      <w:numFmt w:val="decimal"/>
      <w:pStyle w:val="Numbered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D04A6C"/>
    <w:multiLevelType w:val="multilevel"/>
    <w:tmpl w:val="18E6B2D8"/>
    <w:styleLink w:val="BSAnumlist"/>
    <w:lvl w:ilvl="0">
      <w:start w:val="1"/>
      <w:numFmt w:val="decimal"/>
      <w:pStyle w:val="Heading1"/>
      <w:lvlText w:val="%1."/>
      <w:lvlJc w:val="left"/>
      <w:pPr>
        <w:tabs>
          <w:tab w:val="num" w:pos="510"/>
        </w:tabs>
        <w:ind w:left="510" w:hanging="510"/>
      </w:pPr>
      <w:rPr>
        <w:rFonts w:hint="default"/>
        <w:b/>
        <w:i w:val="0"/>
      </w:rPr>
    </w:lvl>
    <w:lvl w:ilvl="1">
      <w:start w:val="1"/>
      <w:numFmt w:val="decimal"/>
      <w:pStyle w:val="Heading2"/>
      <w:lvlText w:val="%1.%2"/>
      <w:lvlJc w:val="left"/>
      <w:pPr>
        <w:ind w:left="510" w:hanging="510"/>
      </w:pPr>
      <w:rPr>
        <w:rFonts w:hint="default"/>
      </w:rPr>
    </w:lvl>
    <w:lvl w:ilvl="2">
      <w:start w:val="1"/>
      <w:numFmt w:val="decimal"/>
      <w:pStyle w:val="Heading3"/>
      <w:lvlText w:val="%1.%2.%3"/>
      <w:lvlJc w:val="left"/>
      <w:pPr>
        <w:ind w:left="510" w:hanging="51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1852A8"/>
    <w:multiLevelType w:val="hybridMultilevel"/>
    <w:tmpl w:val="617EB7CA"/>
    <w:lvl w:ilvl="0" w:tplc="6C4AD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7"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
  </w:num>
  <w:num w:numId="3">
    <w:abstractNumId w:val="2"/>
  </w:num>
  <w:num w:numId="4">
    <w:abstractNumId w:val="0"/>
  </w:num>
  <w:num w:numId="5">
    <w:abstractNumId w:val="8"/>
  </w:num>
  <w:num w:numId="6">
    <w:abstractNumId w:val="16"/>
  </w:num>
  <w:num w:numId="7">
    <w:abstractNumId w:val="16"/>
    <w:lvlOverride w:ilvl="0">
      <w:startOverride w:val="1"/>
    </w:lvlOverride>
  </w:num>
  <w:num w:numId="8">
    <w:abstractNumId w:val="9"/>
  </w:num>
  <w:num w:numId="9">
    <w:abstractNumId w:val="15"/>
  </w:num>
  <w:num w:numId="10">
    <w:abstractNumId w:val="13"/>
  </w:num>
  <w:num w:numId="11">
    <w:abstractNumId w:val="5"/>
  </w:num>
  <w:num w:numId="12">
    <w:abstractNumId w:val="17"/>
  </w:num>
  <w:num w:numId="13">
    <w:abstractNumId w:val="10"/>
  </w:num>
  <w:num w:numId="14">
    <w:abstractNumId w:val="6"/>
  </w:num>
  <w:num w:numId="15">
    <w:abstractNumId w:val="7"/>
  </w:num>
  <w:num w:numId="16">
    <w:abstractNumId w:val="14"/>
  </w:num>
  <w:num w:numId="17">
    <w:abstractNumId w:val="12"/>
  </w:num>
  <w:num w:numId="18">
    <w:abstractNumId w:val="2"/>
    <w:lvlOverride w:ilvl="0">
      <w:startOverride w:val="1"/>
    </w:lvlOverride>
  </w:num>
  <w:num w:numId="19">
    <w:abstractNumId w:val="11"/>
  </w:num>
  <w:num w:numId="20">
    <w:abstractNumId w:val="2"/>
  </w:num>
  <w:num w:numId="21">
    <w:abstractNumId w:val="4"/>
  </w:num>
  <w:num w:numId="22">
    <w:abstractNumId w:val="2"/>
  </w:num>
  <w:num w:numId="23">
    <w:abstractNumId w:val="2"/>
  </w:num>
  <w:num w:numId="24">
    <w:abstractNumId w:val="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F3"/>
    <w:rsid w:val="000005FE"/>
    <w:rsid w:val="00003331"/>
    <w:rsid w:val="00004DBB"/>
    <w:rsid w:val="000067FC"/>
    <w:rsid w:val="000145BD"/>
    <w:rsid w:val="00014B89"/>
    <w:rsid w:val="00014EE8"/>
    <w:rsid w:val="00021A39"/>
    <w:rsid w:val="00025E7D"/>
    <w:rsid w:val="00033874"/>
    <w:rsid w:val="00035F7F"/>
    <w:rsid w:val="00037DCF"/>
    <w:rsid w:val="000401F4"/>
    <w:rsid w:val="00040B11"/>
    <w:rsid w:val="000429AC"/>
    <w:rsid w:val="00042B6A"/>
    <w:rsid w:val="00043543"/>
    <w:rsid w:val="0004722E"/>
    <w:rsid w:val="00054743"/>
    <w:rsid w:val="000609B3"/>
    <w:rsid w:val="000637A6"/>
    <w:rsid w:val="0006650D"/>
    <w:rsid w:val="0006710F"/>
    <w:rsid w:val="00074BFE"/>
    <w:rsid w:val="0007518C"/>
    <w:rsid w:val="00077642"/>
    <w:rsid w:val="00081B63"/>
    <w:rsid w:val="000836A7"/>
    <w:rsid w:val="00083977"/>
    <w:rsid w:val="00083DD5"/>
    <w:rsid w:val="00087056"/>
    <w:rsid w:val="0009116E"/>
    <w:rsid w:val="00091382"/>
    <w:rsid w:val="00095A5F"/>
    <w:rsid w:val="000A255F"/>
    <w:rsid w:val="000A456B"/>
    <w:rsid w:val="000A73C5"/>
    <w:rsid w:val="000B3906"/>
    <w:rsid w:val="000D18E8"/>
    <w:rsid w:val="000D2DE0"/>
    <w:rsid w:val="000D5F0D"/>
    <w:rsid w:val="000D64BF"/>
    <w:rsid w:val="000E6E70"/>
    <w:rsid w:val="000F3511"/>
    <w:rsid w:val="000F4EE9"/>
    <w:rsid w:val="000F5C22"/>
    <w:rsid w:val="00101758"/>
    <w:rsid w:val="00101841"/>
    <w:rsid w:val="0010594D"/>
    <w:rsid w:val="00106A10"/>
    <w:rsid w:val="00107F9B"/>
    <w:rsid w:val="001116BE"/>
    <w:rsid w:val="00111D05"/>
    <w:rsid w:val="00117449"/>
    <w:rsid w:val="00130137"/>
    <w:rsid w:val="00132FF9"/>
    <w:rsid w:val="0013545F"/>
    <w:rsid w:val="001371C1"/>
    <w:rsid w:val="00141455"/>
    <w:rsid w:val="00143CE0"/>
    <w:rsid w:val="0014547C"/>
    <w:rsid w:val="00146D03"/>
    <w:rsid w:val="0015010F"/>
    <w:rsid w:val="0015219C"/>
    <w:rsid w:val="00170DBD"/>
    <w:rsid w:val="001752FB"/>
    <w:rsid w:val="001757CE"/>
    <w:rsid w:val="00175F34"/>
    <w:rsid w:val="00176AB0"/>
    <w:rsid w:val="001807EF"/>
    <w:rsid w:val="0018108F"/>
    <w:rsid w:val="00181732"/>
    <w:rsid w:val="00186FC8"/>
    <w:rsid w:val="00187090"/>
    <w:rsid w:val="001906E4"/>
    <w:rsid w:val="00191ACD"/>
    <w:rsid w:val="00195CE6"/>
    <w:rsid w:val="00196F2A"/>
    <w:rsid w:val="001975EF"/>
    <w:rsid w:val="0019765A"/>
    <w:rsid w:val="001A04A2"/>
    <w:rsid w:val="001A4635"/>
    <w:rsid w:val="001B1DC5"/>
    <w:rsid w:val="001B278A"/>
    <w:rsid w:val="001B5C19"/>
    <w:rsid w:val="001C1E83"/>
    <w:rsid w:val="001C5A27"/>
    <w:rsid w:val="001C70CA"/>
    <w:rsid w:val="001D794F"/>
    <w:rsid w:val="001E5C6B"/>
    <w:rsid w:val="001E7D3E"/>
    <w:rsid w:val="001F00F4"/>
    <w:rsid w:val="001F4462"/>
    <w:rsid w:val="001F516C"/>
    <w:rsid w:val="001F5C99"/>
    <w:rsid w:val="00200BA4"/>
    <w:rsid w:val="002035F8"/>
    <w:rsid w:val="00212372"/>
    <w:rsid w:val="00215009"/>
    <w:rsid w:val="00216CF6"/>
    <w:rsid w:val="00222804"/>
    <w:rsid w:val="002254B6"/>
    <w:rsid w:val="002273CF"/>
    <w:rsid w:val="00227491"/>
    <w:rsid w:val="002340B6"/>
    <w:rsid w:val="00234BA2"/>
    <w:rsid w:val="00236486"/>
    <w:rsid w:val="00236595"/>
    <w:rsid w:val="002367A6"/>
    <w:rsid w:val="00236835"/>
    <w:rsid w:val="00246133"/>
    <w:rsid w:val="00247AA5"/>
    <w:rsid w:val="00252088"/>
    <w:rsid w:val="00253D2A"/>
    <w:rsid w:val="00255D53"/>
    <w:rsid w:val="00261FDC"/>
    <w:rsid w:val="00264048"/>
    <w:rsid w:val="002644A5"/>
    <w:rsid w:val="002703E6"/>
    <w:rsid w:val="002737A6"/>
    <w:rsid w:val="00274709"/>
    <w:rsid w:val="00275CA6"/>
    <w:rsid w:val="00277DC6"/>
    <w:rsid w:val="00285FC1"/>
    <w:rsid w:val="00286D5E"/>
    <w:rsid w:val="00297E3C"/>
    <w:rsid w:val="002A3B2B"/>
    <w:rsid w:val="002A7AA5"/>
    <w:rsid w:val="002B365E"/>
    <w:rsid w:val="002B4B87"/>
    <w:rsid w:val="002C13D9"/>
    <w:rsid w:val="002C14A3"/>
    <w:rsid w:val="002C2443"/>
    <w:rsid w:val="002C2693"/>
    <w:rsid w:val="002C3B4F"/>
    <w:rsid w:val="002C5FEA"/>
    <w:rsid w:val="002C7F39"/>
    <w:rsid w:val="002D41F7"/>
    <w:rsid w:val="002D54F6"/>
    <w:rsid w:val="002E58E4"/>
    <w:rsid w:val="002F2771"/>
    <w:rsid w:val="002F30B2"/>
    <w:rsid w:val="003035D4"/>
    <w:rsid w:val="00305061"/>
    <w:rsid w:val="00307696"/>
    <w:rsid w:val="003121C1"/>
    <w:rsid w:val="00312BE6"/>
    <w:rsid w:val="0031322E"/>
    <w:rsid w:val="0031355C"/>
    <w:rsid w:val="00316D22"/>
    <w:rsid w:val="0032373B"/>
    <w:rsid w:val="00325971"/>
    <w:rsid w:val="0032661D"/>
    <w:rsid w:val="00332C5B"/>
    <w:rsid w:val="00335973"/>
    <w:rsid w:val="00337680"/>
    <w:rsid w:val="0034040D"/>
    <w:rsid w:val="003437F0"/>
    <w:rsid w:val="00345381"/>
    <w:rsid w:val="003460DF"/>
    <w:rsid w:val="003470E1"/>
    <w:rsid w:val="003502DA"/>
    <w:rsid w:val="0035097A"/>
    <w:rsid w:val="00350E5C"/>
    <w:rsid w:val="00351177"/>
    <w:rsid w:val="00351B5C"/>
    <w:rsid w:val="003558B0"/>
    <w:rsid w:val="00357E4F"/>
    <w:rsid w:val="003641D7"/>
    <w:rsid w:val="00365740"/>
    <w:rsid w:val="00375EB8"/>
    <w:rsid w:val="003768E3"/>
    <w:rsid w:val="00382009"/>
    <w:rsid w:val="003822E5"/>
    <w:rsid w:val="00384383"/>
    <w:rsid w:val="003845A7"/>
    <w:rsid w:val="003863C7"/>
    <w:rsid w:val="0039181B"/>
    <w:rsid w:val="00396B86"/>
    <w:rsid w:val="003A0E71"/>
    <w:rsid w:val="003A23A7"/>
    <w:rsid w:val="003A7325"/>
    <w:rsid w:val="003B149F"/>
    <w:rsid w:val="003B6C23"/>
    <w:rsid w:val="003C0576"/>
    <w:rsid w:val="003C582C"/>
    <w:rsid w:val="003C6BED"/>
    <w:rsid w:val="003C732F"/>
    <w:rsid w:val="003D2E11"/>
    <w:rsid w:val="003D4483"/>
    <w:rsid w:val="003D46AF"/>
    <w:rsid w:val="003D4ADB"/>
    <w:rsid w:val="003E070D"/>
    <w:rsid w:val="003E138D"/>
    <w:rsid w:val="003E3AA1"/>
    <w:rsid w:val="003E44B5"/>
    <w:rsid w:val="003F6A96"/>
    <w:rsid w:val="003F754E"/>
    <w:rsid w:val="003F7A54"/>
    <w:rsid w:val="00404297"/>
    <w:rsid w:val="004052BC"/>
    <w:rsid w:val="00421924"/>
    <w:rsid w:val="00422B20"/>
    <w:rsid w:val="00423B5A"/>
    <w:rsid w:val="0043200F"/>
    <w:rsid w:val="00432154"/>
    <w:rsid w:val="00434E9F"/>
    <w:rsid w:val="00440AFA"/>
    <w:rsid w:val="0044558B"/>
    <w:rsid w:val="00446A5E"/>
    <w:rsid w:val="00450978"/>
    <w:rsid w:val="00451AD9"/>
    <w:rsid w:val="00453D6B"/>
    <w:rsid w:val="004655B4"/>
    <w:rsid w:val="00467D92"/>
    <w:rsid w:val="00471E80"/>
    <w:rsid w:val="00473614"/>
    <w:rsid w:val="00480E6A"/>
    <w:rsid w:val="004857EF"/>
    <w:rsid w:val="004860A3"/>
    <w:rsid w:val="00490167"/>
    <w:rsid w:val="004957E5"/>
    <w:rsid w:val="004A0DCC"/>
    <w:rsid w:val="004A3079"/>
    <w:rsid w:val="004A45C0"/>
    <w:rsid w:val="004A545C"/>
    <w:rsid w:val="004A7B0A"/>
    <w:rsid w:val="004B42E6"/>
    <w:rsid w:val="004B60B8"/>
    <w:rsid w:val="004B628A"/>
    <w:rsid w:val="004B7066"/>
    <w:rsid w:val="004C42FB"/>
    <w:rsid w:val="004C56B6"/>
    <w:rsid w:val="004C74B1"/>
    <w:rsid w:val="004D069F"/>
    <w:rsid w:val="004D4058"/>
    <w:rsid w:val="004E0D7A"/>
    <w:rsid w:val="004E159A"/>
    <w:rsid w:val="004E3BAE"/>
    <w:rsid w:val="004E58C1"/>
    <w:rsid w:val="004E6BCC"/>
    <w:rsid w:val="004F0AAB"/>
    <w:rsid w:val="004F4378"/>
    <w:rsid w:val="004F47B4"/>
    <w:rsid w:val="004F4A4B"/>
    <w:rsid w:val="00501A10"/>
    <w:rsid w:val="00501CAA"/>
    <w:rsid w:val="00501EFF"/>
    <w:rsid w:val="00504D8F"/>
    <w:rsid w:val="00506147"/>
    <w:rsid w:val="0051265C"/>
    <w:rsid w:val="00521D91"/>
    <w:rsid w:val="00521FFB"/>
    <w:rsid w:val="00523157"/>
    <w:rsid w:val="005270F9"/>
    <w:rsid w:val="005278B5"/>
    <w:rsid w:val="00533A79"/>
    <w:rsid w:val="0053523C"/>
    <w:rsid w:val="00535A93"/>
    <w:rsid w:val="00537C9B"/>
    <w:rsid w:val="00546DA5"/>
    <w:rsid w:val="005478B1"/>
    <w:rsid w:val="00560374"/>
    <w:rsid w:val="00563C6F"/>
    <w:rsid w:val="0056694A"/>
    <w:rsid w:val="00571158"/>
    <w:rsid w:val="00573D2F"/>
    <w:rsid w:val="00574839"/>
    <w:rsid w:val="00576815"/>
    <w:rsid w:val="0058182A"/>
    <w:rsid w:val="005843DE"/>
    <w:rsid w:val="00584C77"/>
    <w:rsid w:val="00585CC3"/>
    <w:rsid w:val="00586741"/>
    <w:rsid w:val="00590306"/>
    <w:rsid w:val="0059420B"/>
    <w:rsid w:val="00594DBA"/>
    <w:rsid w:val="0059682F"/>
    <w:rsid w:val="005A0E15"/>
    <w:rsid w:val="005A6C3D"/>
    <w:rsid w:val="005B1E84"/>
    <w:rsid w:val="005B46D4"/>
    <w:rsid w:val="005B477B"/>
    <w:rsid w:val="005B6B53"/>
    <w:rsid w:val="005C029B"/>
    <w:rsid w:val="005C7C01"/>
    <w:rsid w:val="005C7DB5"/>
    <w:rsid w:val="005D2CCA"/>
    <w:rsid w:val="005D30A8"/>
    <w:rsid w:val="005D5512"/>
    <w:rsid w:val="005D7EBF"/>
    <w:rsid w:val="005E05B9"/>
    <w:rsid w:val="005E38B0"/>
    <w:rsid w:val="005E5CDB"/>
    <w:rsid w:val="005F3244"/>
    <w:rsid w:val="005F4195"/>
    <w:rsid w:val="005F525A"/>
    <w:rsid w:val="005F54F5"/>
    <w:rsid w:val="005F63C2"/>
    <w:rsid w:val="005F74C0"/>
    <w:rsid w:val="00601808"/>
    <w:rsid w:val="00602DAF"/>
    <w:rsid w:val="00605199"/>
    <w:rsid w:val="00606D8F"/>
    <w:rsid w:val="006102E7"/>
    <w:rsid w:val="006120AF"/>
    <w:rsid w:val="0061422D"/>
    <w:rsid w:val="00616A65"/>
    <w:rsid w:val="00617AB4"/>
    <w:rsid w:val="00624C5E"/>
    <w:rsid w:val="006257DC"/>
    <w:rsid w:val="00631B38"/>
    <w:rsid w:val="00631F57"/>
    <w:rsid w:val="00633653"/>
    <w:rsid w:val="0063748B"/>
    <w:rsid w:val="00646F0D"/>
    <w:rsid w:val="006555D8"/>
    <w:rsid w:val="006578AE"/>
    <w:rsid w:val="00666E1C"/>
    <w:rsid w:val="00671EC0"/>
    <w:rsid w:val="00673E76"/>
    <w:rsid w:val="00676F48"/>
    <w:rsid w:val="0067716A"/>
    <w:rsid w:val="00683466"/>
    <w:rsid w:val="00686056"/>
    <w:rsid w:val="0069188F"/>
    <w:rsid w:val="00692AD4"/>
    <w:rsid w:val="00693461"/>
    <w:rsid w:val="00695EDE"/>
    <w:rsid w:val="006A11A7"/>
    <w:rsid w:val="006A473D"/>
    <w:rsid w:val="006A5571"/>
    <w:rsid w:val="006B0D2E"/>
    <w:rsid w:val="006B16E0"/>
    <w:rsid w:val="006B3FAA"/>
    <w:rsid w:val="006B4816"/>
    <w:rsid w:val="006B5690"/>
    <w:rsid w:val="006C40FB"/>
    <w:rsid w:val="006C617F"/>
    <w:rsid w:val="006D075C"/>
    <w:rsid w:val="006D21D2"/>
    <w:rsid w:val="006D3EEA"/>
    <w:rsid w:val="006D7A99"/>
    <w:rsid w:val="006E2245"/>
    <w:rsid w:val="006F431A"/>
    <w:rsid w:val="00703FB3"/>
    <w:rsid w:val="007146AE"/>
    <w:rsid w:val="00717D14"/>
    <w:rsid w:val="00720888"/>
    <w:rsid w:val="00731903"/>
    <w:rsid w:val="00731C8D"/>
    <w:rsid w:val="00734440"/>
    <w:rsid w:val="00736218"/>
    <w:rsid w:val="00742434"/>
    <w:rsid w:val="00743F33"/>
    <w:rsid w:val="00746646"/>
    <w:rsid w:val="00746F69"/>
    <w:rsid w:val="00753A99"/>
    <w:rsid w:val="00761185"/>
    <w:rsid w:val="00761B73"/>
    <w:rsid w:val="007660E0"/>
    <w:rsid w:val="0076614E"/>
    <w:rsid w:val="00770B14"/>
    <w:rsid w:val="007761D9"/>
    <w:rsid w:val="007775DB"/>
    <w:rsid w:val="0078371A"/>
    <w:rsid w:val="007866AB"/>
    <w:rsid w:val="00787201"/>
    <w:rsid w:val="0079305A"/>
    <w:rsid w:val="007A1BCD"/>
    <w:rsid w:val="007A36B1"/>
    <w:rsid w:val="007A767E"/>
    <w:rsid w:val="007B0BA9"/>
    <w:rsid w:val="007B6250"/>
    <w:rsid w:val="007B797A"/>
    <w:rsid w:val="007C7944"/>
    <w:rsid w:val="007D300B"/>
    <w:rsid w:val="007D31C6"/>
    <w:rsid w:val="007D6A04"/>
    <w:rsid w:val="007E1294"/>
    <w:rsid w:val="007E2836"/>
    <w:rsid w:val="007E568A"/>
    <w:rsid w:val="007E5E62"/>
    <w:rsid w:val="007E6DA1"/>
    <w:rsid w:val="007F0BB0"/>
    <w:rsid w:val="007F4828"/>
    <w:rsid w:val="00803CC0"/>
    <w:rsid w:val="00804175"/>
    <w:rsid w:val="0080452A"/>
    <w:rsid w:val="00805CE6"/>
    <w:rsid w:val="00813DBC"/>
    <w:rsid w:val="00813F7A"/>
    <w:rsid w:val="00815A1B"/>
    <w:rsid w:val="0081707B"/>
    <w:rsid w:val="008225A4"/>
    <w:rsid w:val="00826F1E"/>
    <w:rsid w:val="00827F08"/>
    <w:rsid w:val="00833C3F"/>
    <w:rsid w:val="0083433D"/>
    <w:rsid w:val="0083496E"/>
    <w:rsid w:val="008375AB"/>
    <w:rsid w:val="008476D7"/>
    <w:rsid w:val="008477BB"/>
    <w:rsid w:val="00854234"/>
    <w:rsid w:val="00856A0E"/>
    <w:rsid w:val="00872FD2"/>
    <w:rsid w:val="0087320F"/>
    <w:rsid w:val="00873D35"/>
    <w:rsid w:val="00880099"/>
    <w:rsid w:val="00880A15"/>
    <w:rsid w:val="00881ED2"/>
    <w:rsid w:val="00883291"/>
    <w:rsid w:val="008843DE"/>
    <w:rsid w:val="008846AA"/>
    <w:rsid w:val="00887765"/>
    <w:rsid w:val="008909C8"/>
    <w:rsid w:val="00891F9E"/>
    <w:rsid w:val="00892F0D"/>
    <w:rsid w:val="008934D7"/>
    <w:rsid w:val="00897107"/>
    <w:rsid w:val="00897207"/>
    <w:rsid w:val="008A3E4D"/>
    <w:rsid w:val="008A45F7"/>
    <w:rsid w:val="008B1485"/>
    <w:rsid w:val="008B71CE"/>
    <w:rsid w:val="008C4B94"/>
    <w:rsid w:val="008C5A91"/>
    <w:rsid w:val="008C6961"/>
    <w:rsid w:val="008C7A79"/>
    <w:rsid w:val="008D6B6F"/>
    <w:rsid w:val="008E5D8E"/>
    <w:rsid w:val="008E77C1"/>
    <w:rsid w:val="008E7B8E"/>
    <w:rsid w:val="008E7ED3"/>
    <w:rsid w:val="008F0A2F"/>
    <w:rsid w:val="008F2CF3"/>
    <w:rsid w:val="008F3E32"/>
    <w:rsid w:val="008F6B71"/>
    <w:rsid w:val="008F742B"/>
    <w:rsid w:val="008F79EB"/>
    <w:rsid w:val="009003D8"/>
    <w:rsid w:val="00900F31"/>
    <w:rsid w:val="00903F9F"/>
    <w:rsid w:val="00917900"/>
    <w:rsid w:val="00920B17"/>
    <w:rsid w:val="00930258"/>
    <w:rsid w:val="00930A39"/>
    <w:rsid w:val="00937145"/>
    <w:rsid w:val="0095391A"/>
    <w:rsid w:val="009546E6"/>
    <w:rsid w:val="00964F16"/>
    <w:rsid w:val="00974CAE"/>
    <w:rsid w:val="00975F65"/>
    <w:rsid w:val="00983BC2"/>
    <w:rsid w:val="0098699E"/>
    <w:rsid w:val="00995104"/>
    <w:rsid w:val="009A0464"/>
    <w:rsid w:val="009A115C"/>
    <w:rsid w:val="009A1BAF"/>
    <w:rsid w:val="009A2B79"/>
    <w:rsid w:val="009A543C"/>
    <w:rsid w:val="009A55D1"/>
    <w:rsid w:val="009A6A99"/>
    <w:rsid w:val="009B0395"/>
    <w:rsid w:val="009B0B10"/>
    <w:rsid w:val="009B21EA"/>
    <w:rsid w:val="009B2D95"/>
    <w:rsid w:val="009C6CA3"/>
    <w:rsid w:val="009D125E"/>
    <w:rsid w:val="009D1A1A"/>
    <w:rsid w:val="009D2206"/>
    <w:rsid w:val="009D3564"/>
    <w:rsid w:val="009D41AA"/>
    <w:rsid w:val="009D4EE4"/>
    <w:rsid w:val="009E0A65"/>
    <w:rsid w:val="009E1E96"/>
    <w:rsid w:val="009F3A26"/>
    <w:rsid w:val="009F3F0C"/>
    <w:rsid w:val="00A130DF"/>
    <w:rsid w:val="00A14178"/>
    <w:rsid w:val="00A170BD"/>
    <w:rsid w:val="00A252FA"/>
    <w:rsid w:val="00A32258"/>
    <w:rsid w:val="00A33333"/>
    <w:rsid w:val="00A36943"/>
    <w:rsid w:val="00A43B3E"/>
    <w:rsid w:val="00A445FC"/>
    <w:rsid w:val="00A466A1"/>
    <w:rsid w:val="00A4688C"/>
    <w:rsid w:val="00A47502"/>
    <w:rsid w:val="00A500C7"/>
    <w:rsid w:val="00A521F9"/>
    <w:rsid w:val="00A530D5"/>
    <w:rsid w:val="00A536C1"/>
    <w:rsid w:val="00A64FA6"/>
    <w:rsid w:val="00A659E1"/>
    <w:rsid w:val="00A65E5F"/>
    <w:rsid w:val="00A67D22"/>
    <w:rsid w:val="00A70FB8"/>
    <w:rsid w:val="00A7772D"/>
    <w:rsid w:val="00A77CBD"/>
    <w:rsid w:val="00A80E26"/>
    <w:rsid w:val="00A82077"/>
    <w:rsid w:val="00A82C20"/>
    <w:rsid w:val="00A83D14"/>
    <w:rsid w:val="00A9046D"/>
    <w:rsid w:val="00A90842"/>
    <w:rsid w:val="00A9095F"/>
    <w:rsid w:val="00A9760E"/>
    <w:rsid w:val="00AA2561"/>
    <w:rsid w:val="00AB23B4"/>
    <w:rsid w:val="00AB2792"/>
    <w:rsid w:val="00AB4607"/>
    <w:rsid w:val="00AB4ECC"/>
    <w:rsid w:val="00AB68E3"/>
    <w:rsid w:val="00AC061A"/>
    <w:rsid w:val="00AC1D94"/>
    <w:rsid w:val="00AC1D99"/>
    <w:rsid w:val="00AC2C36"/>
    <w:rsid w:val="00AC45CF"/>
    <w:rsid w:val="00AC498F"/>
    <w:rsid w:val="00AC5570"/>
    <w:rsid w:val="00AE2AE7"/>
    <w:rsid w:val="00AE413A"/>
    <w:rsid w:val="00AE57BF"/>
    <w:rsid w:val="00AE5EB0"/>
    <w:rsid w:val="00AE710A"/>
    <w:rsid w:val="00AF0932"/>
    <w:rsid w:val="00B020E4"/>
    <w:rsid w:val="00B0600E"/>
    <w:rsid w:val="00B16A05"/>
    <w:rsid w:val="00B17FE2"/>
    <w:rsid w:val="00B33CB7"/>
    <w:rsid w:val="00B34A02"/>
    <w:rsid w:val="00B353A0"/>
    <w:rsid w:val="00B35775"/>
    <w:rsid w:val="00B3580E"/>
    <w:rsid w:val="00B3686D"/>
    <w:rsid w:val="00B5051F"/>
    <w:rsid w:val="00B53C19"/>
    <w:rsid w:val="00B5583C"/>
    <w:rsid w:val="00B56C1B"/>
    <w:rsid w:val="00B6367C"/>
    <w:rsid w:val="00B63F7C"/>
    <w:rsid w:val="00B6681C"/>
    <w:rsid w:val="00B67596"/>
    <w:rsid w:val="00B72270"/>
    <w:rsid w:val="00B73FD8"/>
    <w:rsid w:val="00B76AF5"/>
    <w:rsid w:val="00B77ECD"/>
    <w:rsid w:val="00B805E0"/>
    <w:rsid w:val="00B822F6"/>
    <w:rsid w:val="00B825BC"/>
    <w:rsid w:val="00B85804"/>
    <w:rsid w:val="00B96C42"/>
    <w:rsid w:val="00BA2BDD"/>
    <w:rsid w:val="00BA518A"/>
    <w:rsid w:val="00BA794D"/>
    <w:rsid w:val="00BB2090"/>
    <w:rsid w:val="00BB2300"/>
    <w:rsid w:val="00BB6CB3"/>
    <w:rsid w:val="00BC1E39"/>
    <w:rsid w:val="00BC266F"/>
    <w:rsid w:val="00BC6000"/>
    <w:rsid w:val="00BC750A"/>
    <w:rsid w:val="00BD199E"/>
    <w:rsid w:val="00BD27F5"/>
    <w:rsid w:val="00BD3FAC"/>
    <w:rsid w:val="00BD5335"/>
    <w:rsid w:val="00BD68DA"/>
    <w:rsid w:val="00BE451B"/>
    <w:rsid w:val="00BE7EDC"/>
    <w:rsid w:val="00BF117F"/>
    <w:rsid w:val="00BF1A8A"/>
    <w:rsid w:val="00BF3F3E"/>
    <w:rsid w:val="00C03821"/>
    <w:rsid w:val="00C0564E"/>
    <w:rsid w:val="00C06177"/>
    <w:rsid w:val="00C075EA"/>
    <w:rsid w:val="00C10183"/>
    <w:rsid w:val="00C10918"/>
    <w:rsid w:val="00C14EF8"/>
    <w:rsid w:val="00C200D9"/>
    <w:rsid w:val="00C229FF"/>
    <w:rsid w:val="00C23990"/>
    <w:rsid w:val="00C24CCA"/>
    <w:rsid w:val="00C2554C"/>
    <w:rsid w:val="00C25EC1"/>
    <w:rsid w:val="00C26FAE"/>
    <w:rsid w:val="00C33558"/>
    <w:rsid w:val="00C339E3"/>
    <w:rsid w:val="00C33E13"/>
    <w:rsid w:val="00C34C43"/>
    <w:rsid w:val="00C37810"/>
    <w:rsid w:val="00C50A26"/>
    <w:rsid w:val="00C51908"/>
    <w:rsid w:val="00C55879"/>
    <w:rsid w:val="00C5690E"/>
    <w:rsid w:val="00C61256"/>
    <w:rsid w:val="00C64218"/>
    <w:rsid w:val="00C65888"/>
    <w:rsid w:val="00C667D9"/>
    <w:rsid w:val="00C67018"/>
    <w:rsid w:val="00C702C7"/>
    <w:rsid w:val="00C80045"/>
    <w:rsid w:val="00C942D6"/>
    <w:rsid w:val="00C944BB"/>
    <w:rsid w:val="00C96A17"/>
    <w:rsid w:val="00CA39C8"/>
    <w:rsid w:val="00CA4A85"/>
    <w:rsid w:val="00CA4E63"/>
    <w:rsid w:val="00CA5B05"/>
    <w:rsid w:val="00CA772C"/>
    <w:rsid w:val="00CB1D3F"/>
    <w:rsid w:val="00CB2A71"/>
    <w:rsid w:val="00CB2EC3"/>
    <w:rsid w:val="00CB30E9"/>
    <w:rsid w:val="00CC13C5"/>
    <w:rsid w:val="00CC6F55"/>
    <w:rsid w:val="00CE2406"/>
    <w:rsid w:val="00CE3B14"/>
    <w:rsid w:val="00CE4BF9"/>
    <w:rsid w:val="00CE69BA"/>
    <w:rsid w:val="00CF1749"/>
    <w:rsid w:val="00CF695C"/>
    <w:rsid w:val="00CF7F7F"/>
    <w:rsid w:val="00D00C3B"/>
    <w:rsid w:val="00D1132A"/>
    <w:rsid w:val="00D15204"/>
    <w:rsid w:val="00D24A43"/>
    <w:rsid w:val="00D25F3E"/>
    <w:rsid w:val="00D26577"/>
    <w:rsid w:val="00D274B7"/>
    <w:rsid w:val="00D27B73"/>
    <w:rsid w:val="00D364C9"/>
    <w:rsid w:val="00D4057A"/>
    <w:rsid w:val="00D40A46"/>
    <w:rsid w:val="00D40D83"/>
    <w:rsid w:val="00D4159E"/>
    <w:rsid w:val="00D4280C"/>
    <w:rsid w:val="00D44A67"/>
    <w:rsid w:val="00D46701"/>
    <w:rsid w:val="00D50700"/>
    <w:rsid w:val="00D526F6"/>
    <w:rsid w:val="00D5297D"/>
    <w:rsid w:val="00D52A6A"/>
    <w:rsid w:val="00D52DA6"/>
    <w:rsid w:val="00D5480C"/>
    <w:rsid w:val="00D55150"/>
    <w:rsid w:val="00D56E9A"/>
    <w:rsid w:val="00D574AC"/>
    <w:rsid w:val="00D61248"/>
    <w:rsid w:val="00D617FF"/>
    <w:rsid w:val="00D61DFC"/>
    <w:rsid w:val="00D658B4"/>
    <w:rsid w:val="00D709DC"/>
    <w:rsid w:val="00D7368A"/>
    <w:rsid w:val="00D747FE"/>
    <w:rsid w:val="00D833EF"/>
    <w:rsid w:val="00D8562F"/>
    <w:rsid w:val="00D92340"/>
    <w:rsid w:val="00D9387C"/>
    <w:rsid w:val="00D94326"/>
    <w:rsid w:val="00DA06B7"/>
    <w:rsid w:val="00DA1962"/>
    <w:rsid w:val="00DA504B"/>
    <w:rsid w:val="00DA725B"/>
    <w:rsid w:val="00DB031E"/>
    <w:rsid w:val="00DB0CB1"/>
    <w:rsid w:val="00DB4986"/>
    <w:rsid w:val="00DB5D79"/>
    <w:rsid w:val="00DC113D"/>
    <w:rsid w:val="00DC23F5"/>
    <w:rsid w:val="00DC3F26"/>
    <w:rsid w:val="00DC52EF"/>
    <w:rsid w:val="00DC5338"/>
    <w:rsid w:val="00DD27B6"/>
    <w:rsid w:val="00DE341A"/>
    <w:rsid w:val="00DE408E"/>
    <w:rsid w:val="00DF19FC"/>
    <w:rsid w:val="00DF4B62"/>
    <w:rsid w:val="00DF62E9"/>
    <w:rsid w:val="00E01679"/>
    <w:rsid w:val="00E02B16"/>
    <w:rsid w:val="00E047B7"/>
    <w:rsid w:val="00E07EA7"/>
    <w:rsid w:val="00E1404F"/>
    <w:rsid w:val="00E1499C"/>
    <w:rsid w:val="00E2030E"/>
    <w:rsid w:val="00E23E4E"/>
    <w:rsid w:val="00E2538F"/>
    <w:rsid w:val="00E266A4"/>
    <w:rsid w:val="00E27A24"/>
    <w:rsid w:val="00E3449D"/>
    <w:rsid w:val="00E35306"/>
    <w:rsid w:val="00E43B08"/>
    <w:rsid w:val="00E44111"/>
    <w:rsid w:val="00E4452F"/>
    <w:rsid w:val="00E51605"/>
    <w:rsid w:val="00E56F4A"/>
    <w:rsid w:val="00E577C3"/>
    <w:rsid w:val="00E6268F"/>
    <w:rsid w:val="00E662E2"/>
    <w:rsid w:val="00E679DF"/>
    <w:rsid w:val="00E67AF2"/>
    <w:rsid w:val="00E70234"/>
    <w:rsid w:val="00E70606"/>
    <w:rsid w:val="00E70B6E"/>
    <w:rsid w:val="00E743DD"/>
    <w:rsid w:val="00E74DB8"/>
    <w:rsid w:val="00E854D8"/>
    <w:rsid w:val="00E87432"/>
    <w:rsid w:val="00E90DB8"/>
    <w:rsid w:val="00E9192C"/>
    <w:rsid w:val="00E93E31"/>
    <w:rsid w:val="00E943B8"/>
    <w:rsid w:val="00EA1301"/>
    <w:rsid w:val="00EA6465"/>
    <w:rsid w:val="00EA710E"/>
    <w:rsid w:val="00EA7E11"/>
    <w:rsid w:val="00EB209E"/>
    <w:rsid w:val="00EB3691"/>
    <w:rsid w:val="00EB5CD1"/>
    <w:rsid w:val="00EB6A78"/>
    <w:rsid w:val="00EB732D"/>
    <w:rsid w:val="00EC273C"/>
    <w:rsid w:val="00EC2FD7"/>
    <w:rsid w:val="00EC412A"/>
    <w:rsid w:val="00EC58A5"/>
    <w:rsid w:val="00ED20AD"/>
    <w:rsid w:val="00ED7949"/>
    <w:rsid w:val="00EE06F0"/>
    <w:rsid w:val="00EE16D4"/>
    <w:rsid w:val="00EF075E"/>
    <w:rsid w:val="00EF3F3B"/>
    <w:rsid w:val="00EF4086"/>
    <w:rsid w:val="00EF410C"/>
    <w:rsid w:val="00EF4710"/>
    <w:rsid w:val="00F024F7"/>
    <w:rsid w:val="00F03188"/>
    <w:rsid w:val="00F045B9"/>
    <w:rsid w:val="00F05619"/>
    <w:rsid w:val="00F10FC8"/>
    <w:rsid w:val="00F1771C"/>
    <w:rsid w:val="00F2319B"/>
    <w:rsid w:val="00F26A72"/>
    <w:rsid w:val="00F32471"/>
    <w:rsid w:val="00F33ED8"/>
    <w:rsid w:val="00F34B25"/>
    <w:rsid w:val="00F37572"/>
    <w:rsid w:val="00F448EC"/>
    <w:rsid w:val="00F47EC1"/>
    <w:rsid w:val="00F565A3"/>
    <w:rsid w:val="00F6023F"/>
    <w:rsid w:val="00F60F78"/>
    <w:rsid w:val="00F62615"/>
    <w:rsid w:val="00F73EA7"/>
    <w:rsid w:val="00F7435C"/>
    <w:rsid w:val="00F77972"/>
    <w:rsid w:val="00F801EB"/>
    <w:rsid w:val="00F8148B"/>
    <w:rsid w:val="00F81596"/>
    <w:rsid w:val="00F81B28"/>
    <w:rsid w:val="00F82A4E"/>
    <w:rsid w:val="00F832A8"/>
    <w:rsid w:val="00F93AB4"/>
    <w:rsid w:val="00F96F01"/>
    <w:rsid w:val="00FA1E49"/>
    <w:rsid w:val="00FA7B71"/>
    <w:rsid w:val="00FB2700"/>
    <w:rsid w:val="00FC11BE"/>
    <w:rsid w:val="00FC4F0E"/>
    <w:rsid w:val="00FC5C06"/>
    <w:rsid w:val="00FC7FBB"/>
    <w:rsid w:val="00FD2CDF"/>
    <w:rsid w:val="00FD2CF3"/>
    <w:rsid w:val="00FD2E9B"/>
    <w:rsid w:val="00FD505C"/>
    <w:rsid w:val="00FE4D58"/>
    <w:rsid w:val="00FE6C92"/>
    <w:rsid w:val="00FF5DB3"/>
    <w:rsid w:val="00FF6D39"/>
    <w:rsid w:val="00FF6F2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300EB37"/>
  <w15:docId w15:val="{A9CF47BE-DADD-466D-AEE0-1E2E88E7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A26"/>
    <w:pPr>
      <w:spacing w:after="130" w:line="260" w:lineRule="atLeast"/>
    </w:pPr>
  </w:style>
  <w:style w:type="paragraph" w:styleId="Heading1">
    <w:name w:val="heading 1"/>
    <w:basedOn w:val="Normal"/>
    <w:next w:val="Normal"/>
    <w:link w:val="Heading1Char"/>
    <w:uiPriority w:val="9"/>
    <w:qFormat/>
    <w:rsid w:val="005B46D4"/>
    <w:pPr>
      <w:keepNext/>
      <w:keepLines/>
      <w:numPr>
        <w:numId w:val="10"/>
      </w:numPr>
      <w:spacing w:after="0"/>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qFormat/>
    <w:rsid w:val="005B46D4"/>
    <w:pPr>
      <w:keepNext/>
      <w:keepLines/>
      <w:numPr>
        <w:ilvl w:val="1"/>
        <w:numId w:val="10"/>
      </w:numPr>
      <w:spacing w:after="0"/>
      <w:outlineLvl w:val="1"/>
    </w:pPr>
    <w:rPr>
      <w:rFonts w:eastAsiaTheme="majorEastAsia" w:cstheme="majorBidi"/>
      <w:b/>
      <w:bCs/>
      <w:color w:val="000000" w:themeColor="text1"/>
      <w:szCs w:val="26"/>
    </w:rPr>
  </w:style>
  <w:style w:type="paragraph" w:styleId="Heading3">
    <w:name w:val="heading 3"/>
    <w:basedOn w:val="Normal"/>
    <w:link w:val="Heading3Char"/>
    <w:uiPriority w:val="9"/>
    <w:qFormat/>
    <w:rsid w:val="009F3A26"/>
    <w:pPr>
      <w:keepNext/>
      <w:keepLines/>
      <w:numPr>
        <w:ilvl w:val="2"/>
        <w:numId w:val="10"/>
      </w:numPr>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F3E"/>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746646"/>
    <w:rPr>
      <w:rFonts w:eastAsiaTheme="majorEastAsia" w:cstheme="majorBidi"/>
      <w:b/>
      <w:bCs/>
      <w:color w:val="000000" w:themeColor="text1"/>
      <w:szCs w:val="26"/>
    </w:rPr>
  </w:style>
  <w:style w:type="paragraph" w:customStyle="1" w:styleId="Contactdetails">
    <w:name w:val="Contact details"/>
    <w:basedOn w:val="Normal"/>
    <w:qFormat/>
    <w:rsid w:val="00025E7D"/>
    <w:pPr>
      <w:spacing w:after="0" w:line="200" w:lineRule="atLeast"/>
    </w:pPr>
    <w:rPr>
      <w:sz w:val="16"/>
    </w:rPr>
  </w:style>
  <w:style w:type="table" w:styleId="TableGrid">
    <w:name w:val="Table Grid"/>
    <w:basedOn w:val="TableNormal"/>
    <w:uiPriority w:val="59"/>
    <w:rsid w:val="00025E7D"/>
    <w:pPr>
      <w:spacing w:after="0" w:line="240" w:lineRule="auto"/>
    </w:pPr>
    <w:tblPr/>
  </w:style>
  <w:style w:type="paragraph" w:styleId="Header">
    <w:name w:val="header"/>
    <w:basedOn w:val="Normal"/>
    <w:link w:val="HeaderChar"/>
    <w:uiPriority w:val="99"/>
    <w:rsid w:val="00C70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20B"/>
  </w:style>
  <w:style w:type="paragraph" w:styleId="Footer">
    <w:name w:val="footer"/>
    <w:basedOn w:val="Normal"/>
    <w:link w:val="FooterChar"/>
    <w:uiPriority w:val="99"/>
    <w:rsid w:val="001975EF"/>
    <w:pPr>
      <w:tabs>
        <w:tab w:val="right" w:pos="7371"/>
      </w:tabs>
      <w:spacing w:after="0" w:line="200" w:lineRule="atLeast"/>
    </w:pPr>
    <w:rPr>
      <w:sz w:val="16"/>
    </w:rPr>
  </w:style>
  <w:style w:type="character" w:customStyle="1" w:styleId="FooterChar">
    <w:name w:val="Footer Char"/>
    <w:basedOn w:val="DefaultParagraphFont"/>
    <w:link w:val="Footer"/>
    <w:uiPriority w:val="99"/>
    <w:rsid w:val="0059420B"/>
    <w:rPr>
      <w:sz w:val="16"/>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0B"/>
    <w:rPr>
      <w:rFonts w:ascii="Tahoma" w:hAnsi="Tahoma" w:cs="Tahoma"/>
      <w:sz w:val="16"/>
      <w:szCs w:val="16"/>
    </w:rPr>
  </w:style>
  <w:style w:type="paragraph" w:customStyle="1" w:styleId="Recipientaddress">
    <w:name w:val="Recipient address"/>
    <w:qFormat/>
    <w:rsid w:val="00A9095F"/>
    <w:pPr>
      <w:spacing w:after="0" w:line="260" w:lineRule="atLeast"/>
    </w:p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customStyle="1" w:styleId="Documentname">
    <w:name w:val="Document name"/>
    <w:basedOn w:val="Contactdetails"/>
    <w:qFormat/>
    <w:rsid w:val="00186FC8"/>
    <w:rPr>
      <w:b/>
      <w:color w:val="6D6E71" w:themeColor="background2"/>
      <w:spacing w:val="-10"/>
      <w:sz w:val="40"/>
    </w:rPr>
  </w:style>
  <w:style w:type="paragraph" w:styleId="ListBullet">
    <w:name w:val="List Bullet"/>
    <w:basedOn w:val="Normal"/>
    <w:uiPriority w:val="99"/>
    <w:qFormat/>
    <w:rsid w:val="009F3A26"/>
    <w:pPr>
      <w:numPr>
        <w:numId w:val="1"/>
      </w:numPr>
      <w:tabs>
        <w:tab w:val="clear" w:pos="360"/>
        <w:tab w:val="left" w:pos="227"/>
      </w:tabs>
      <w:spacing w:after="0"/>
      <w:ind w:left="227" w:hanging="227"/>
      <w:contextualSpacing/>
    </w:pPr>
  </w:style>
  <w:style w:type="paragraph" w:styleId="ListBullet2">
    <w:name w:val="List Bullet 2"/>
    <w:basedOn w:val="Normal"/>
    <w:uiPriority w:val="99"/>
    <w:qFormat/>
    <w:rsid w:val="009F3A26"/>
    <w:pPr>
      <w:numPr>
        <w:numId w:val="2"/>
      </w:numPr>
      <w:ind w:left="454" w:hanging="227"/>
      <w:contextualSpacing/>
    </w:pPr>
  </w:style>
  <w:style w:type="paragraph" w:styleId="ListNumber">
    <w:name w:val="List Number"/>
    <w:basedOn w:val="Normal"/>
    <w:uiPriority w:val="99"/>
    <w:qFormat/>
    <w:rsid w:val="009A543C"/>
    <w:pPr>
      <w:numPr>
        <w:numId w:val="3"/>
      </w:numPr>
    </w:pPr>
  </w:style>
  <w:style w:type="paragraph" w:styleId="ListNumber2">
    <w:name w:val="List Number 2"/>
    <w:basedOn w:val="Normal"/>
    <w:uiPriority w:val="99"/>
    <w:semiHidden/>
    <w:qFormat/>
    <w:rsid w:val="007E568A"/>
    <w:pPr>
      <w:numPr>
        <w:numId w:val="4"/>
      </w:numPr>
      <w:contextualSpacing/>
    </w:pPr>
  </w:style>
  <w:style w:type="character" w:customStyle="1" w:styleId="Heading3Char">
    <w:name w:val="Heading 3 Char"/>
    <w:basedOn w:val="DefaultParagraphFont"/>
    <w:link w:val="Heading3"/>
    <w:uiPriority w:val="9"/>
    <w:rsid w:val="009F3A26"/>
    <w:rPr>
      <w:rFonts w:eastAsiaTheme="majorEastAsia" w:cstheme="majorBidi"/>
      <w:b/>
      <w:bCs/>
      <w:color w:val="000000" w:themeColor="text1"/>
    </w:rPr>
  </w:style>
  <w:style w:type="character" w:customStyle="1" w:styleId="Heading4Char">
    <w:name w:val="Heading 4 Char"/>
    <w:basedOn w:val="DefaultParagraphFont"/>
    <w:link w:val="Heading4"/>
    <w:uiPriority w:val="9"/>
    <w:semiHidden/>
    <w:rsid w:val="00074BFE"/>
    <w:rPr>
      <w:rFonts w:asciiTheme="majorHAnsi" w:eastAsiaTheme="majorEastAsia" w:hAnsiTheme="majorHAnsi" w:cstheme="majorBidi"/>
      <w:b/>
      <w:bCs/>
      <w:iCs/>
      <w:color w:val="000000" w:themeColor="text1"/>
    </w:rPr>
  </w:style>
  <w:style w:type="paragraph" w:customStyle="1" w:styleId="Authorname">
    <w:name w:val="Author name"/>
    <w:basedOn w:val="Normal"/>
    <w:semiHidden/>
    <w:qFormat/>
    <w:rsid w:val="0019765A"/>
    <w:pPr>
      <w:spacing w:after="260"/>
    </w:pPr>
    <w:rPr>
      <w:color w:val="6D6E71" w:themeColor="background2"/>
    </w:rPr>
  </w:style>
  <w:style w:type="paragraph" w:customStyle="1" w:styleId="Resolvedheading">
    <w:name w:val="Resolved heading"/>
    <w:basedOn w:val="Normal"/>
    <w:next w:val="Normal"/>
    <w:qFormat/>
    <w:rsid w:val="00DB0CB1"/>
    <w:rPr>
      <w:b/>
      <w:caps/>
      <w:color w:val="6D6E71" w:themeColor="background2"/>
    </w:rPr>
  </w:style>
  <w:style w:type="numbering" w:customStyle="1" w:styleId="BSAnumlist">
    <w:name w:val="BSA num list"/>
    <w:uiPriority w:val="99"/>
    <w:rsid w:val="005B46D4"/>
    <w:pPr>
      <w:numPr>
        <w:numId w:val="10"/>
      </w:numPr>
    </w:pPr>
  </w:style>
  <w:style w:type="paragraph" w:customStyle="1" w:styleId="Documenttitle">
    <w:name w:val="Document title"/>
    <w:next w:val="Normal"/>
    <w:qFormat/>
    <w:rsid w:val="00D8562F"/>
    <w:pPr>
      <w:pBdr>
        <w:bottom w:val="single" w:sz="18" w:space="1" w:color="A6A6A6" w:themeColor="background1" w:themeShade="A6"/>
      </w:pBdr>
      <w:spacing w:after="130" w:line="340" w:lineRule="atLeast"/>
    </w:pPr>
    <w:rPr>
      <w:rFonts w:asciiTheme="majorHAnsi" w:eastAsiaTheme="majorEastAsia" w:hAnsiTheme="majorHAnsi" w:cstheme="majorBidi"/>
      <w:bCs/>
      <w:color w:val="64A70B"/>
      <w:sz w:val="38"/>
      <w:szCs w:val="28"/>
    </w:rPr>
  </w:style>
  <w:style w:type="paragraph" w:customStyle="1" w:styleId="Numbering-Roman">
    <w:name w:val="Numbering - Roman"/>
    <w:basedOn w:val="Normal"/>
    <w:qFormat/>
    <w:rsid w:val="00803CC0"/>
    <w:pPr>
      <w:numPr>
        <w:numId w:val="14"/>
      </w:numPr>
      <w:ind w:left="1020" w:hanging="340"/>
    </w:pPr>
  </w:style>
  <w:style w:type="paragraph" w:customStyle="1" w:styleId="Numbering-Alpha">
    <w:name w:val="Numbering - Alpha"/>
    <w:basedOn w:val="Normal"/>
    <w:qFormat/>
    <w:rsid w:val="00803CC0"/>
    <w:pPr>
      <w:numPr>
        <w:numId w:val="15"/>
      </w:numPr>
      <w:ind w:left="680" w:hanging="340"/>
    </w:pPr>
  </w:style>
  <w:style w:type="paragraph" w:customStyle="1" w:styleId="ParagraphHeading">
    <w:name w:val="Paragraph Heading"/>
    <w:basedOn w:val="Normal"/>
    <w:next w:val="NumberedParagraph"/>
    <w:qFormat/>
    <w:rsid w:val="005F63C2"/>
    <w:pPr>
      <w:spacing w:after="260"/>
    </w:pPr>
    <w:rPr>
      <w:b/>
    </w:rPr>
  </w:style>
  <w:style w:type="character" w:customStyle="1" w:styleId="Statementtext">
    <w:name w:val="Statement text"/>
    <w:basedOn w:val="DefaultParagraphFont"/>
    <w:uiPriority w:val="1"/>
    <w:semiHidden/>
    <w:rsid w:val="00DC52EF"/>
    <w:rPr>
      <w:b/>
      <w:color w:val="A6A6A6" w:themeColor="background1" w:themeShade="A6"/>
    </w:rPr>
  </w:style>
  <w:style w:type="paragraph" w:customStyle="1" w:styleId="NumberedParagraph">
    <w:name w:val="Numbered Paragraph"/>
    <w:basedOn w:val="ListNumber"/>
    <w:qFormat/>
    <w:rsid w:val="008C7A79"/>
    <w:pPr>
      <w:numPr>
        <w:numId w:val="17"/>
      </w:numPr>
    </w:pPr>
  </w:style>
  <w:style w:type="paragraph" w:customStyle="1" w:styleId="Paragraphheading0">
    <w:name w:val="Paragraph heading"/>
    <w:basedOn w:val="Normal"/>
    <w:next w:val="NumberedParagraph"/>
    <w:rsid w:val="00423B5A"/>
    <w:rPr>
      <w:b/>
    </w:rPr>
  </w:style>
  <w:style w:type="paragraph" w:customStyle="1" w:styleId="PaperType">
    <w:name w:val="PaperType"/>
    <w:basedOn w:val="Normal"/>
    <w:link w:val="PaperTypeChar"/>
    <w:qFormat/>
    <w:rsid w:val="00693461"/>
    <w:rPr>
      <w:b/>
      <w:color w:val="D9D9D9" w:themeColor="background1" w:themeShade="D9"/>
    </w:rPr>
  </w:style>
  <w:style w:type="character" w:customStyle="1" w:styleId="PaperTypeChar">
    <w:name w:val="PaperType Char"/>
    <w:basedOn w:val="DefaultParagraphFont"/>
    <w:link w:val="PaperType"/>
    <w:rsid w:val="00693461"/>
    <w:rPr>
      <w:b/>
      <w:color w:val="D9D9D9" w:themeColor="background1" w:themeShade="D9"/>
    </w:rPr>
  </w:style>
  <w:style w:type="character" w:styleId="Hyperlink">
    <w:name w:val="Hyperlink"/>
    <w:basedOn w:val="DefaultParagraphFont"/>
    <w:uiPriority w:val="99"/>
    <w:semiHidden/>
    <w:rsid w:val="00C10183"/>
    <w:rPr>
      <w:color w:val="0000FF" w:themeColor="hyperlink"/>
      <w:u w:val="single"/>
    </w:rPr>
  </w:style>
  <w:style w:type="character" w:styleId="FollowedHyperlink">
    <w:name w:val="FollowedHyperlink"/>
    <w:basedOn w:val="DefaultParagraphFont"/>
    <w:uiPriority w:val="99"/>
    <w:semiHidden/>
    <w:rsid w:val="007761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504">
      <w:bodyDiv w:val="1"/>
      <w:marLeft w:val="0"/>
      <w:marRight w:val="0"/>
      <w:marTop w:val="0"/>
      <w:marBottom w:val="0"/>
      <w:divBdr>
        <w:top w:val="none" w:sz="0" w:space="0" w:color="auto"/>
        <w:left w:val="none" w:sz="0" w:space="0" w:color="auto"/>
        <w:bottom w:val="none" w:sz="0" w:space="0" w:color="auto"/>
        <w:right w:val="none" w:sz="0" w:space="0" w:color="auto"/>
      </w:divBdr>
    </w:div>
    <w:div w:id="136150585">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77224620">
      <w:bodyDiv w:val="1"/>
      <w:marLeft w:val="0"/>
      <w:marRight w:val="0"/>
      <w:marTop w:val="0"/>
      <w:marBottom w:val="0"/>
      <w:divBdr>
        <w:top w:val="none" w:sz="0" w:space="0" w:color="auto"/>
        <w:left w:val="none" w:sz="0" w:space="0" w:color="auto"/>
        <w:bottom w:val="none" w:sz="0" w:space="0" w:color="auto"/>
        <w:right w:val="none" w:sz="0" w:space="0" w:color="auto"/>
      </w:divBdr>
    </w:div>
    <w:div w:id="614601987">
      <w:bodyDiv w:val="1"/>
      <w:marLeft w:val="0"/>
      <w:marRight w:val="0"/>
      <w:marTop w:val="0"/>
      <w:marBottom w:val="0"/>
      <w:divBdr>
        <w:top w:val="none" w:sz="0" w:space="0" w:color="auto"/>
        <w:left w:val="none" w:sz="0" w:space="0" w:color="auto"/>
        <w:bottom w:val="none" w:sz="0" w:space="0" w:color="auto"/>
        <w:right w:val="none" w:sz="0" w:space="0" w:color="auto"/>
      </w:divBdr>
    </w:div>
    <w:div w:id="624888165">
      <w:bodyDiv w:val="1"/>
      <w:marLeft w:val="0"/>
      <w:marRight w:val="0"/>
      <w:marTop w:val="0"/>
      <w:marBottom w:val="0"/>
      <w:divBdr>
        <w:top w:val="none" w:sz="0" w:space="0" w:color="auto"/>
        <w:left w:val="none" w:sz="0" w:space="0" w:color="auto"/>
        <w:bottom w:val="none" w:sz="0" w:space="0" w:color="auto"/>
        <w:right w:val="none" w:sz="0" w:space="0" w:color="auto"/>
      </w:divBdr>
    </w:div>
    <w:div w:id="1199854106">
      <w:bodyDiv w:val="1"/>
      <w:marLeft w:val="0"/>
      <w:marRight w:val="0"/>
      <w:marTop w:val="0"/>
      <w:marBottom w:val="0"/>
      <w:divBdr>
        <w:top w:val="none" w:sz="0" w:space="0" w:color="auto"/>
        <w:left w:val="none" w:sz="0" w:space="0" w:color="auto"/>
        <w:bottom w:val="none" w:sz="0" w:space="0" w:color="auto"/>
        <w:right w:val="none" w:sz="0" w:space="0" w:color="auto"/>
      </w:divBdr>
    </w:div>
    <w:div w:id="16342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cs.org/globalassets/rics-website/media/knowledge/research/market-surveys/december-2019-rics-uk-residential-market-survey.pdf" TargetMode="Externa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s://www.gov.uk/government/collections/data-forecas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solutionfoundation.org/publications/housing-outlook-q1-2020/" TargetMode="External"/><Relationship Id="rId14" Type="http://schemas.openxmlformats.org/officeDocument/2006/relationships/image" Target="media/image5.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BSA Colours">
      <a:dk1>
        <a:sysClr val="windowText" lastClr="000000"/>
      </a:dk1>
      <a:lt1>
        <a:sysClr val="window" lastClr="FFFFFF"/>
      </a:lt1>
      <a:dk2>
        <a:srgbClr val="1F497D"/>
      </a:dk2>
      <a:lt2>
        <a:srgbClr val="6D6E7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AFE7-EC74-4FDD-8B44-1C593513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5</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Operandi Limited</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Gall</dc:creator>
  <cp:keywords/>
  <dc:description/>
  <cp:lastModifiedBy>Andrew Gall</cp:lastModifiedBy>
  <cp:revision>39</cp:revision>
  <cp:lastPrinted>2019-12-03T11:46:00Z</cp:lastPrinted>
  <dcterms:created xsi:type="dcterms:W3CDTF">2020-01-16T09:46:00Z</dcterms:created>
  <dcterms:modified xsi:type="dcterms:W3CDTF">2020-02-04T16:12:00Z</dcterms:modified>
</cp:coreProperties>
</file>