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D6B" w:rsidRDefault="00730D6B" w:rsidP="00312B93">
      <w:pPr>
        <w:rPr>
          <w:rFonts w:ascii="Segoe UI" w:hAnsi="Segoe UI" w:cs="Segoe UI"/>
          <w:sz w:val="20"/>
          <w:szCs w:val="20"/>
        </w:rPr>
      </w:pPr>
      <w:bookmarkStart w:id="0" w:name="_GoBack"/>
      <w:bookmarkEnd w:id="0"/>
      <w:r>
        <w:rPr>
          <w:rFonts w:ascii="Calibri" w:hAnsi="Calibri"/>
          <w:i/>
          <w:iCs/>
          <w:noProof/>
          <w:sz w:val="40"/>
          <w:szCs w:val="40"/>
        </w:rPr>
        <w:drawing>
          <wp:anchor distT="0" distB="0" distL="114300" distR="114300" simplePos="0" relativeHeight="251659264" behindDoc="0" locked="0" layoutInCell="1" allowOverlap="1" wp14:anchorId="7CCC98D1" wp14:editId="500F93DE">
            <wp:simplePos x="0" y="0"/>
            <wp:positionH relativeFrom="column">
              <wp:posOffset>-378178</wp:posOffset>
            </wp:positionH>
            <wp:positionV relativeFrom="paragraph">
              <wp:posOffset>-350379</wp:posOffset>
            </wp:positionV>
            <wp:extent cx="2752728" cy="571500"/>
            <wp:effectExtent l="0" t="0" r="9522"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2728" cy="571500"/>
                    </a:xfrm>
                    <a:prstGeom prst="rect">
                      <a:avLst/>
                    </a:prstGeom>
                    <a:noFill/>
                    <a:ln>
                      <a:noFill/>
                      <a:prstDash/>
                    </a:ln>
                  </pic:spPr>
                </pic:pic>
              </a:graphicData>
            </a:graphic>
          </wp:anchor>
        </w:drawing>
      </w:r>
    </w:p>
    <w:p w:rsidR="00730D6B" w:rsidRDefault="00730D6B" w:rsidP="00312B93">
      <w:pPr>
        <w:rPr>
          <w:rFonts w:ascii="Segoe UI" w:hAnsi="Segoe UI" w:cs="Segoe UI"/>
          <w:sz w:val="20"/>
          <w:szCs w:val="20"/>
        </w:rPr>
      </w:pPr>
    </w:p>
    <w:p w:rsidR="00730D6B" w:rsidRDefault="00730D6B" w:rsidP="00312B93">
      <w:pPr>
        <w:rPr>
          <w:rFonts w:ascii="Segoe UI" w:hAnsi="Segoe UI" w:cs="Segoe UI"/>
          <w:sz w:val="20"/>
          <w:szCs w:val="20"/>
        </w:rPr>
      </w:pPr>
    </w:p>
    <w:p w:rsidR="00730D6B" w:rsidRPr="000368A6" w:rsidRDefault="00730D6B" w:rsidP="00730D6B">
      <w:pPr>
        <w:jc w:val="center"/>
        <w:rPr>
          <w:rFonts w:asciiTheme="minorHAnsi" w:hAnsiTheme="minorHAnsi" w:cs="Segoe UI"/>
          <w:b/>
          <w:sz w:val="24"/>
          <w:szCs w:val="24"/>
        </w:rPr>
      </w:pPr>
      <w:r w:rsidRPr="000368A6">
        <w:rPr>
          <w:rFonts w:asciiTheme="minorHAnsi" w:hAnsiTheme="minorHAnsi" w:cs="Segoe UI"/>
          <w:b/>
          <w:sz w:val="24"/>
          <w:szCs w:val="24"/>
        </w:rPr>
        <w:t>FCA Quarterly Consultation No 7 CP 14/27</w:t>
      </w:r>
    </w:p>
    <w:p w:rsidR="00730D6B" w:rsidRPr="000368A6" w:rsidRDefault="00730D6B" w:rsidP="00730D6B">
      <w:pPr>
        <w:jc w:val="center"/>
        <w:rPr>
          <w:rFonts w:asciiTheme="minorHAnsi" w:hAnsiTheme="minorHAnsi" w:cs="Segoe UI"/>
          <w:b/>
          <w:sz w:val="24"/>
          <w:szCs w:val="24"/>
        </w:rPr>
      </w:pPr>
    </w:p>
    <w:p w:rsidR="00730D6B" w:rsidRPr="000368A6" w:rsidRDefault="00730D6B" w:rsidP="00730D6B">
      <w:pPr>
        <w:jc w:val="center"/>
        <w:rPr>
          <w:rFonts w:asciiTheme="minorHAnsi" w:hAnsiTheme="minorHAnsi" w:cs="Segoe UI"/>
          <w:b/>
          <w:sz w:val="24"/>
          <w:szCs w:val="24"/>
        </w:rPr>
      </w:pPr>
      <w:r w:rsidRPr="000368A6">
        <w:rPr>
          <w:rFonts w:asciiTheme="minorHAnsi" w:hAnsiTheme="minorHAnsi" w:cs="Segoe UI"/>
          <w:b/>
          <w:sz w:val="24"/>
          <w:szCs w:val="24"/>
        </w:rPr>
        <w:t>Response by the Building Societies Association</w:t>
      </w:r>
    </w:p>
    <w:p w:rsidR="00730D6B" w:rsidRPr="000368A6" w:rsidRDefault="00730D6B" w:rsidP="00312B93">
      <w:pPr>
        <w:rPr>
          <w:rFonts w:asciiTheme="minorHAnsi" w:hAnsiTheme="minorHAnsi" w:cs="Segoe UI"/>
          <w:sz w:val="20"/>
          <w:szCs w:val="20"/>
        </w:rPr>
      </w:pPr>
    </w:p>
    <w:p w:rsidR="000368A6" w:rsidRPr="000368A6" w:rsidRDefault="000368A6" w:rsidP="00312B93">
      <w:pPr>
        <w:rPr>
          <w:rFonts w:asciiTheme="minorHAnsi" w:hAnsiTheme="minorHAnsi" w:cs="Segoe UI"/>
          <w:b/>
        </w:rPr>
      </w:pPr>
      <w:r w:rsidRPr="000368A6">
        <w:rPr>
          <w:rFonts w:asciiTheme="minorHAnsi" w:hAnsiTheme="minorHAnsi" w:cs="Segoe UI"/>
          <w:b/>
        </w:rPr>
        <w:t xml:space="preserve">Executive Summary </w:t>
      </w:r>
    </w:p>
    <w:p w:rsidR="000368A6" w:rsidRPr="000368A6" w:rsidRDefault="000368A6" w:rsidP="00312B93">
      <w:pPr>
        <w:rPr>
          <w:rFonts w:asciiTheme="minorHAnsi" w:hAnsiTheme="minorHAnsi" w:cs="Segoe UI"/>
        </w:rPr>
      </w:pPr>
    </w:p>
    <w:p w:rsidR="00730D6B" w:rsidRPr="002D2EA4" w:rsidRDefault="006837CA" w:rsidP="002D2EA4">
      <w:pPr>
        <w:pStyle w:val="ListParagraph"/>
        <w:numPr>
          <w:ilvl w:val="0"/>
          <w:numId w:val="2"/>
        </w:numPr>
        <w:ind w:left="360"/>
        <w:rPr>
          <w:rFonts w:asciiTheme="minorHAnsi" w:hAnsiTheme="minorHAnsi" w:cs="Segoe UI"/>
        </w:rPr>
      </w:pPr>
      <w:r w:rsidRPr="002D2EA4">
        <w:rPr>
          <w:rFonts w:asciiTheme="minorHAnsi" w:hAnsiTheme="minorHAnsi" w:cs="Segoe UI"/>
        </w:rPr>
        <w:t>The BSA is interested in chapter 4 of the CP – the proposal to revoke the Building Societies Regulatory Guide and we respond to the question -</w:t>
      </w:r>
    </w:p>
    <w:p w:rsidR="006837CA" w:rsidRPr="000368A6" w:rsidRDefault="006837CA" w:rsidP="002D2EA4">
      <w:pPr>
        <w:autoSpaceDE w:val="0"/>
        <w:autoSpaceDN w:val="0"/>
        <w:adjustRightInd w:val="0"/>
        <w:rPr>
          <w:rFonts w:asciiTheme="minorHAnsi" w:hAnsiTheme="minorHAnsi" w:cs="FrutigerLTStd-Bold"/>
          <w:b/>
          <w:bCs/>
        </w:rPr>
      </w:pPr>
    </w:p>
    <w:p w:rsidR="00730D6B" w:rsidRPr="002D2EA4" w:rsidRDefault="006837CA" w:rsidP="002D2EA4">
      <w:pPr>
        <w:autoSpaceDE w:val="0"/>
        <w:autoSpaceDN w:val="0"/>
        <w:adjustRightInd w:val="0"/>
        <w:ind w:left="720"/>
        <w:rPr>
          <w:rFonts w:asciiTheme="minorHAnsi" w:hAnsiTheme="minorHAnsi" w:cs="FrutigerLTStd-Bold"/>
          <w:bCs/>
          <w:i/>
        </w:rPr>
      </w:pPr>
      <w:r w:rsidRPr="002D2EA4">
        <w:rPr>
          <w:rFonts w:asciiTheme="minorHAnsi" w:hAnsiTheme="minorHAnsi" w:cs="FrutigerLTStd-Bold"/>
          <w:bCs/>
          <w:i/>
        </w:rPr>
        <w:t>“Do you agree with the proposal to revoke the Building Societies Regulatory Guide and retain the information in BSOG 1A on the FCA website?”</w:t>
      </w:r>
    </w:p>
    <w:p w:rsidR="006837CA" w:rsidRPr="002D2EA4" w:rsidRDefault="006837CA" w:rsidP="002D2EA4">
      <w:pPr>
        <w:rPr>
          <w:rFonts w:asciiTheme="minorHAnsi" w:hAnsiTheme="minorHAnsi" w:cs="Segoe UI"/>
          <w:i/>
        </w:rPr>
      </w:pPr>
    </w:p>
    <w:p w:rsidR="002D2EA4" w:rsidRPr="002D2EA4" w:rsidRDefault="002D2EA4" w:rsidP="002D2EA4">
      <w:pPr>
        <w:pStyle w:val="ListParagraph"/>
        <w:numPr>
          <w:ilvl w:val="0"/>
          <w:numId w:val="2"/>
        </w:numPr>
        <w:ind w:left="360"/>
        <w:rPr>
          <w:rFonts w:asciiTheme="minorHAnsi" w:hAnsiTheme="minorHAnsi" w:cs="Segoe UI"/>
        </w:rPr>
      </w:pPr>
      <w:r w:rsidRPr="002D2EA4">
        <w:rPr>
          <w:rFonts w:asciiTheme="minorHAnsi" w:hAnsiTheme="minorHAnsi" w:cs="Segoe UI"/>
        </w:rPr>
        <w:t>We believe that the ideal course of action would be to retain BSOG.  However, should the regulators decide to revoke it, then we would s</w:t>
      </w:r>
      <w:r w:rsidR="00E875CC">
        <w:rPr>
          <w:rFonts w:asciiTheme="minorHAnsi" w:hAnsiTheme="minorHAnsi" w:cs="Segoe UI"/>
        </w:rPr>
        <w:t>upport the suggested solutions</w:t>
      </w:r>
      <w:r w:rsidRPr="002D2EA4">
        <w:rPr>
          <w:rFonts w:asciiTheme="minorHAnsi" w:hAnsiTheme="minorHAnsi" w:cs="Segoe UI"/>
        </w:rPr>
        <w:t>, provided adequate safeguards were put in place to ensure that the relevant material was not lost.</w:t>
      </w:r>
    </w:p>
    <w:p w:rsidR="002D2EA4" w:rsidRDefault="002D2EA4" w:rsidP="00312B93">
      <w:pPr>
        <w:rPr>
          <w:rFonts w:asciiTheme="minorHAnsi" w:hAnsiTheme="minorHAnsi" w:cs="Segoe UI"/>
          <w:b/>
        </w:rPr>
      </w:pPr>
    </w:p>
    <w:p w:rsidR="000368A6" w:rsidRPr="000368A6" w:rsidRDefault="000368A6" w:rsidP="00312B93">
      <w:pPr>
        <w:rPr>
          <w:rFonts w:asciiTheme="minorHAnsi" w:hAnsiTheme="minorHAnsi" w:cs="Segoe UI"/>
          <w:b/>
        </w:rPr>
      </w:pPr>
      <w:r w:rsidRPr="000368A6">
        <w:rPr>
          <w:rFonts w:asciiTheme="minorHAnsi" w:hAnsiTheme="minorHAnsi" w:cs="Segoe UI"/>
          <w:b/>
        </w:rPr>
        <w:t>Background</w:t>
      </w:r>
    </w:p>
    <w:p w:rsidR="000368A6" w:rsidRPr="000368A6" w:rsidRDefault="000368A6" w:rsidP="00312B93">
      <w:pPr>
        <w:rPr>
          <w:rFonts w:asciiTheme="minorHAnsi" w:hAnsiTheme="minorHAnsi" w:cs="Segoe UI"/>
        </w:rPr>
      </w:pPr>
    </w:p>
    <w:p w:rsidR="000368A6" w:rsidRPr="002D2EA4" w:rsidRDefault="000368A6" w:rsidP="002D2EA4">
      <w:pPr>
        <w:pStyle w:val="ListParagraph"/>
        <w:numPr>
          <w:ilvl w:val="0"/>
          <w:numId w:val="2"/>
        </w:numPr>
        <w:ind w:left="360"/>
        <w:rPr>
          <w:rFonts w:asciiTheme="minorHAnsi" w:hAnsiTheme="minorHAnsi" w:cs="Segoe UI"/>
        </w:rPr>
      </w:pPr>
      <w:r w:rsidRPr="002D2EA4">
        <w:rPr>
          <w:rFonts w:asciiTheme="minorHAnsi" w:hAnsiTheme="minorHAnsi" w:cs="Segoe UI"/>
        </w:rPr>
        <w:t>We recognise the need to review the FCA Handbook from time-to-time and, in principle, support streamlining.</w:t>
      </w:r>
    </w:p>
    <w:p w:rsidR="000368A6" w:rsidRPr="000368A6" w:rsidRDefault="000368A6" w:rsidP="002D2EA4">
      <w:pPr>
        <w:rPr>
          <w:rFonts w:asciiTheme="minorHAnsi" w:hAnsiTheme="minorHAnsi" w:cs="Segoe UI"/>
        </w:rPr>
      </w:pPr>
    </w:p>
    <w:p w:rsidR="000368A6" w:rsidRPr="002D2EA4" w:rsidRDefault="000368A6" w:rsidP="002D2EA4">
      <w:pPr>
        <w:pStyle w:val="ListParagraph"/>
        <w:numPr>
          <w:ilvl w:val="0"/>
          <w:numId w:val="2"/>
        </w:numPr>
        <w:ind w:left="360"/>
        <w:rPr>
          <w:rFonts w:asciiTheme="minorHAnsi" w:hAnsiTheme="minorHAnsi" w:cs="Segoe UI"/>
        </w:rPr>
      </w:pPr>
      <w:r w:rsidRPr="002D2EA4">
        <w:rPr>
          <w:rFonts w:asciiTheme="minorHAnsi" w:hAnsiTheme="minorHAnsi" w:cs="Segoe UI"/>
        </w:rPr>
        <w:t>S</w:t>
      </w:r>
      <w:r w:rsidR="00312B93" w:rsidRPr="002D2EA4">
        <w:rPr>
          <w:rFonts w:asciiTheme="minorHAnsi" w:hAnsiTheme="minorHAnsi" w:cs="Segoe UI"/>
        </w:rPr>
        <w:t xml:space="preserve">ome of BSOG </w:t>
      </w:r>
      <w:r w:rsidRPr="002D2EA4">
        <w:rPr>
          <w:rFonts w:asciiTheme="minorHAnsi" w:hAnsiTheme="minorHAnsi" w:cs="Segoe UI"/>
        </w:rPr>
        <w:t>(eg BSOG 1) largely</w:t>
      </w:r>
      <w:r w:rsidR="00312B93" w:rsidRPr="002D2EA4">
        <w:rPr>
          <w:rFonts w:asciiTheme="minorHAnsi" w:hAnsiTheme="minorHAnsi" w:cs="Segoe UI"/>
        </w:rPr>
        <w:t xml:space="preserve"> reflects statutory provisions and does not seem to bring much added value</w:t>
      </w:r>
      <w:r w:rsidRPr="002D2EA4">
        <w:rPr>
          <w:rFonts w:asciiTheme="minorHAnsi" w:hAnsiTheme="minorHAnsi" w:cs="Segoe UI"/>
        </w:rPr>
        <w:t>, other than perhaps giving those who are interested an overview of the key statutory and constitutional arrangements.</w:t>
      </w:r>
      <w:r w:rsidR="00312B93" w:rsidRPr="002D2EA4">
        <w:rPr>
          <w:rFonts w:asciiTheme="minorHAnsi" w:hAnsiTheme="minorHAnsi" w:cs="Segoe UI"/>
        </w:rPr>
        <w:t xml:space="preserve">  </w:t>
      </w:r>
    </w:p>
    <w:p w:rsidR="000368A6" w:rsidRPr="000368A6" w:rsidRDefault="000368A6" w:rsidP="00312B93">
      <w:pPr>
        <w:rPr>
          <w:rFonts w:asciiTheme="minorHAnsi" w:hAnsiTheme="minorHAnsi" w:cs="Segoe UI"/>
        </w:rPr>
      </w:pPr>
    </w:p>
    <w:p w:rsidR="000368A6" w:rsidRPr="002D2EA4" w:rsidRDefault="000368A6" w:rsidP="002D2EA4">
      <w:pPr>
        <w:pStyle w:val="ListParagraph"/>
        <w:numPr>
          <w:ilvl w:val="0"/>
          <w:numId w:val="2"/>
        </w:numPr>
        <w:ind w:left="360"/>
        <w:rPr>
          <w:rFonts w:asciiTheme="minorHAnsi" w:hAnsiTheme="minorHAnsi" w:cs="Segoe UI"/>
        </w:rPr>
      </w:pPr>
      <w:r w:rsidRPr="002D2EA4">
        <w:rPr>
          <w:rFonts w:asciiTheme="minorHAnsi" w:hAnsiTheme="minorHAnsi" w:cs="Segoe UI"/>
        </w:rPr>
        <w:t>However, t</w:t>
      </w:r>
      <w:r w:rsidR="00312B93" w:rsidRPr="002D2EA4">
        <w:rPr>
          <w:rFonts w:asciiTheme="minorHAnsi" w:hAnsiTheme="minorHAnsi" w:cs="Segoe UI"/>
        </w:rPr>
        <w:t>he provisions concerning applications for access to membership registers (BSOG 1A), which derive from guidance of the former Bui</w:t>
      </w:r>
      <w:r w:rsidRPr="002D2EA4">
        <w:rPr>
          <w:rFonts w:asciiTheme="minorHAnsi" w:hAnsiTheme="minorHAnsi" w:cs="Segoe UI"/>
        </w:rPr>
        <w:t>lding Societies Commission</w:t>
      </w:r>
      <w:r w:rsidR="00964B45">
        <w:rPr>
          <w:rFonts w:asciiTheme="minorHAnsi" w:hAnsiTheme="minorHAnsi" w:cs="Segoe UI"/>
        </w:rPr>
        <w:t xml:space="preserve"> and concern regulatory practice</w:t>
      </w:r>
      <w:r w:rsidRPr="002D2EA4">
        <w:rPr>
          <w:rFonts w:asciiTheme="minorHAnsi" w:hAnsiTheme="minorHAnsi" w:cs="Segoe UI"/>
        </w:rPr>
        <w:t xml:space="preserve">, </w:t>
      </w:r>
      <w:r w:rsidR="00312B93" w:rsidRPr="002D2EA4">
        <w:rPr>
          <w:rFonts w:asciiTheme="minorHAnsi" w:hAnsiTheme="minorHAnsi" w:cs="Segoe UI"/>
        </w:rPr>
        <w:t xml:space="preserve">would have no separate existence if lost.  </w:t>
      </w:r>
      <w:r w:rsidRPr="002D2EA4">
        <w:rPr>
          <w:rFonts w:asciiTheme="minorHAnsi" w:hAnsiTheme="minorHAnsi" w:cs="Segoe UI"/>
        </w:rPr>
        <w:t>The BSA has provided the FCA with information about the matter separately</w:t>
      </w:r>
      <w:r w:rsidR="00312B93" w:rsidRPr="002D2EA4">
        <w:rPr>
          <w:rFonts w:asciiTheme="minorHAnsi" w:hAnsiTheme="minorHAnsi" w:cs="Segoe UI"/>
        </w:rPr>
        <w:t xml:space="preserve">. </w:t>
      </w:r>
    </w:p>
    <w:p w:rsidR="000368A6" w:rsidRPr="000368A6" w:rsidRDefault="000368A6" w:rsidP="002D2EA4">
      <w:pPr>
        <w:rPr>
          <w:rFonts w:asciiTheme="minorHAnsi" w:hAnsiTheme="minorHAnsi" w:cs="Segoe UI"/>
        </w:rPr>
      </w:pPr>
    </w:p>
    <w:p w:rsidR="000368A6" w:rsidRPr="002D2EA4" w:rsidRDefault="000368A6" w:rsidP="002D2EA4">
      <w:pPr>
        <w:pStyle w:val="ListParagraph"/>
        <w:numPr>
          <w:ilvl w:val="0"/>
          <w:numId w:val="2"/>
        </w:numPr>
        <w:ind w:left="360"/>
        <w:rPr>
          <w:rFonts w:asciiTheme="minorHAnsi" w:hAnsiTheme="minorHAnsi" w:cs="Segoe UI"/>
        </w:rPr>
      </w:pPr>
      <w:r w:rsidRPr="002D2EA4">
        <w:rPr>
          <w:rFonts w:asciiTheme="minorHAnsi" w:hAnsiTheme="minorHAnsi" w:cs="Segoe UI"/>
        </w:rPr>
        <w:t xml:space="preserve">Other areas of BSOG that contain </w:t>
      </w:r>
      <w:r w:rsidR="004379FB" w:rsidRPr="002D2EA4">
        <w:rPr>
          <w:rFonts w:asciiTheme="minorHAnsi" w:hAnsiTheme="minorHAnsi" w:cs="Segoe UI"/>
        </w:rPr>
        <w:t xml:space="preserve">very </w:t>
      </w:r>
      <w:r w:rsidRPr="002D2EA4">
        <w:rPr>
          <w:rFonts w:asciiTheme="minorHAnsi" w:hAnsiTheme="minorHAnsi" w:cs="Segoe UI"/>
        </w:rPr>
        <w:t xml:space="preserve">important information </w:t>
      </w:r>
      <w:r w:rsidR="00964B45">
        <w:rPr>
          <w:rFonts w:asciiTheme="minorHAnsi" w:hAnsiTheme="minorHAnsi" w:cs="Segoe UI"/>
        </w:rPr>
        <w:t xml:space="preserve">about regulatory practice </w:t>
      </w:r>
      <w:r w:rsidRPr="002D2EA4">
        <w:rPr>
          <w:rFonts w:asciiTheme="minorHAnsi" w:hAnsiTheme="minorHAnsi" w:cs="Segoe UI"/>
        </w:rPr>
        <w:t>are the mergers and transfers provisions (BSOG 2 and 3 respectively).</w:t>
      </w:r>
    </w:p>
    <w:p w:rsidR="000368A6" w:rsidRPr="000368A6" w:rsidRDefault="000368A6" w:rsidP="000368A6">
      <w:pPr>
        <w:rPr>
          <w:rFonts w:asciiTheme="minorHAnsi" w:hAnsiTheme="minorHAnsi" w:cs="Segoe UI"/>
        </w:rPr>
      </w:pPr>
    </w:p>
    <w:p w:rsidR="000368A6" w:rsidRPr="000368A6" w:rsidRDefault="000368A6" w:rsidP="000368A6">
      <w:pPr>
        <w:rPr>
          <w:rFonts w:asciiTheme="minorHAnsi" w:hAnsiTheme="minorHAnsi" w:cs="Segoe UI"/>
          <w:b/>
        </w:rPr>
      </w:pPr>
      <w:r w:rsidRPr="000368A6">
        <w:rPr>
          <w:rFonts w:asciiTheme="minorHAnsi" w:hAnsiTheme="minorHAnsi" w:cs="Segoe UI"/>
          <w:b/>
        </w:rPr>
        <w:t>Revocation or Retention?</w:t>
      </w:r>
    </w:p>
    <w:p w:rsidR="000368A6" w:rsidRPr="000368A6" w:rsidRDefault="000368A6" w:rsidP="00312B93">
      <w:pPr>
        <w:rPr>
          <w:rFonts w:asciiTheme="minorHAnsi" w:hAnsiTheme="minorHAnsi" w:cs="Segoe UI"/>
        </w:rPr>
      </w:pPr>
    </w:p>
    <w:p w:rsidR="00312B93" w:rsidRPr="002D2EA4" w:rsidRDefault="000368A6" w:rsidP="002D2EA4">
      <w:pPr>
        <w:pStyle w:val="ListParagraph"/>
        <w:numPr>
          <w:ilvl w:val="0"/>
          <w:numId w:val="2"/>
        </w:numPr>
        <w:ind w:left="360"/>
        <w:rPr>
          <w:rFonts w:asciiTheme="minorHAnsi" w:hAnsiTheme="minorHAnsi" w:cs="Segoe UI"/>
        </w:rPr>
      </w:pPr>
      <w:r w:rsidRPr="002D2EA4">
        <w:rPr>
          <w:rFonts w:asciiTheme="minorHAnsi" w:hAnsiTheme="minorHAnsi" w:cs="Segoe UI"/>
        </w:rPr>
        <w:t>To lose the relevant provisions in BSOG 1A, 2 and 3 would potentially be very unhelpful.</w:t>
      </w:r>
      <w:r w:rsidR="002D2EA4">
        <w:rPr>
          <w:rFonts w:asciiTheme="minorHAnsi" w:hAnsiTheme="minorHAnsi" w:cs="Segoe UI"/>
        </w:rPr>
        <w:t xml:space="preserve"> </w:t>
      </w:r>
      <w:r w:rsidRPr="002D2EA4">
        <w:rPr>
          <w:rFonts w:asciiTheme="minorHAnsi" w:hAnsiTheme="minorHAnsi" w:cs="Segoe UI"/>
        </w:rPr>
        <w:t xml:space="preserve">In the BSA’s firm view the guidance in these modules </w:t>
      </w:r>
      <w:r w:rsidR="00312B93" w:rsidRPr="002D2EA4">
        <w:rPr>
          <w:rFonts w:asciiTheme="minorHAnsi" w:hAnsiTheme="minorHAnsi" w:cs="Segoe UI"/>
        </w:rPr>
        <w:t xml:space="preserve">remains of considerable potential value to building societies and their members.  </w:t>
      </w:r>
      <w:r w:rsidR="002B256F">
        <w:rPr>
          <w:rFonts w:asciiTheme="minorHAnsi" w:hAnsiTheme="minorHAnsi" w:cs="Segoe UI"/>
        </w:rPr>
        <w:t xml:space="preserve">One of the problems </w:t>
      </w:r>
      <w:r w:rsidR="00964B45">
        <w:rPr>
          <w:rFonts w:asciiTheme="minorHAnsi" w:hAnsiTheme="minorHAnsi" w:cs="Segoe UI"/>
        </w:rPr>
        <w:t xml:space="preserve">is that, after time, corporate memory both at a regulator or a trade body will fade.  </w:t>
      </w:r>
      <w:r w:rsidR="00964B45" w:rsidRPr="002D2EA4">
        <w:rPr>
          <w:rFonts w:asciiTheme="minorHAnsi" w:hAnsiTheme="minorHAnsi" w:cs="Segoe UI"/>
        </w:rPr>
        <w:t xml:space="preserve">Therefore, we believe that it is very important that those provisions are retained in some </w:t>
      </w:r>
      <w:r w:rsidR="00964B45">
        <w:rPr>
          <w:rFonts w:asciiTheme="minorHAnsi" w:hAnsiTheme="minorHAnsi" w:cs="Segoe UI"/>
        </w:rPr>
        <w:t xml:space="preserve">permanent </w:t>
      </w:r>
      <w:r w:rsidR="00964B45" w:rsidRPr="002D2EA4">
        <w:rPr>
          <w:rFonts w:asciiTheme="minorHAnsi" w:hAnsiTheme="minorHAnsi" w:cs="Segoe UI"/>
        </w:rPr>
        <w:t>form.</w:t>
      </w:r>
      <w:r w:rsidR="00964B45">
        <w:rPr>
          <w:rFonts w:asciiTheme="minorHAnsi" w:hAnsiTheme="minorHAnsi" w:cs="Segoe UI"/>
        </w:rPr>
        <w:t xml:space="preserve">  </w:t>
      </w:r>
    </w:p>
    <w:p w:rsidR="004379FB" w:rsidRDefault="004379FB" w:rsidP="002D2EA4">
      <w:pPr>
        <w:rPr>
          <w:rFonts w:asciiTheme="minorHAnsi" w:hAnsiTheme="minorHAnsi" w:cs="Segoe UI"/>
        </w:rPr>
      </w:pPr>
    </w:p>
    <w:p w:rsidR="004379FB" w:rsidRPr="002D2EA4" w:rsidRDefault="004379FB" w:rsidP="002D2EA4">
      <w:pPr>
        <w:pStyle w:val="ListParagraph"/>
        <w:numPr>
          <w:ilvl w:val="0"/>
          <w:numId w:val="2"/>
        </w:numPr>
        <w:ind w:left="360"/>
        <w:rPr>
          <w:rFonts w:asciiTheme="minorHAnsi" w:hAnsiTheme="minorHAnsi" w:cs="Segoe UI"/>
        </w:rPr>
      </w:pPr>
      <w:r w:rsidRPr="002D2EA4">
        <w:rPr>
          <w:rFonts w:asciiTheme="minorHAnsi" w:hAnsiTheme="minorHAnsi" w:cs="Segoe UI"/>
        </w:rPr>
        <w:t>We much appreciate, following informal discussions, the FCA’s recognition of the importance of retailing certain elements of the material in BSOG.  In the CP, the FCA suggests that BSOG should be revoked but –</w:t>
      </w:r>
    </w:p>
    <w:p w:rsidR="004379FB" w:rsidRDefault="004379FB" w:rsidP="002D2EA4">
      <w:pPr>
        <w:rPr>
          <w:rFonts w:asciiTheme="minorHAnsi" w:hAnsiTheme="minorHAnsi" w:cs="Segoe UI"/>
        </w:rPr>
      </w:pPr>
    </w:p>
    <w:p w:rsidR="004379FB" w:rsidRDefault="004379FB" w:rsidP="001B7CD7">
      <w:pPr>
        <w:pStyle w:val="ListParagraph"/>
        <w:numPr>
          <w:ilvl w:val="0"/>
          <w:numId w:val="1"/>
        </w:numPr>
        <w:ind w:left="1080"/>
        <w:rPr>
          <w:rFonts w:asciiTheme="minorHAnsi" w:hAnsiTheme="minorHAnsi" w:cs="Segoe UI"/>
        </w:rPr>
      </w:pPr>
      <w:r>
        <w:rPr>
          <w:rFonts w:asciiTheme="minorHAnsi" w:hAnsiTheme="minorHAnsi" w:cs="Segoe UI"/>
        </w:rPr>
        <w:t>the contents of BSOG 1A should be retained on a part of the FCA website where it is easily accessible, and the FCA would communicate this to stakeholders</w:t>
      </w:r>
    </w:p>
    <w:p w:rsidR="004379FB" w:rsidRDefault="004379FB" w:rsidP="001B7CD7">
      <w:pPr>
        <w:ind w:left="360"/>
        <w:rPr>
          <w:rFonts w:asciiTheme="minorHAnsi" w:hAnsiTheme="minorHAnsi" w:cs="Segoe UI"/>
        </w:rPr>
      </w:pPr>
    </w:p>
    <w:p w:rsidR="004379FB" w:rsidRPr="004379FB" w:rsidRDefault="004379FB" w:rsidP="001B7CD7">
      <w:pPr>
        <w:pStyle w:val="ListParagraph"/>
        <w:numPr>
          <w:ilvl w:val="0"/>
          <w:numId w:val="1"/>
        </w:numPr>
        <w:ind w:left="1080"/>
        <w:rPr>
          <w:rFonts w:asciiTheme="minorHAnsi" w:hAnsiTheme="minorHAnsi" w:cs="Segoe UI"/>
        </w:rPr>
      </w:pPr>
      <w:r>
        <w:rPr>
          <w:rFonts w:asciiTheme="minorHAnsi" w:hAnsiTheme="minorHAnsi" w:cs="Segoe UI"/>
        </w:rPr>
        <w:t xml:space="preserve">the information in BOSG 2.7 and 3.8 </w:t>
      </w:r>
      <w:r w:rsidR="002B256F">
        <w:rPr>
          <w:rFonts w:asciiTheme="minorHAnsi" w:hAnsiTheme="minorHAnsi" w:cs="Segoe UI"/>
        </w:rPr>
        <w:t xml:space="preserve">(as explained in the CP, these provisions are relevant to the FCA) </w:t>
      </w:r>
      <w:r>
        <w:rPr>
          <w:rFonts w:asciiTheme="minorHAnsi" w:hAnsiTheme="minorHAnsi" w:cs="Segoe UI"/>
        </w:rPr>
        <w:t>should remain available to firms through the PRA as it is consulting separately on proposals to move the material in BSOG 1, 2 and 3 into a separate supervisory statement</w:t>
      </w:r>
      <w:r w:rsidR="00FC3490">
        <w:rPr>
          <w:rFonts w:asciiTheme="minorHAnsi" w:hAnsiTheme="minorHAnsi" w:cs="Segoe UI"/>
        </w:rPr>
        <w:t>.</w:t>
      </w:r>
    </w:p>
    <w:p w:rsidR="00312B93" w:rsidRDefault="00312B93" w:rsidP="00312B93">
      <w:pPr>
        <w:rPr>
          <w:rFonts w:asciiTheme="minorHAnsi" w:hAnsiTheme="minorHAnsi" w:cs="Segoe UI"/>
        </w:rPr>
      </w:pPr>
      <w:r w:rsidRPr="000368A6">
        <w:rPr>
          <w:rFonts w:asciiTheme="minorHAnsi" w:hAnsiTheme="minorHAnsi" w:cs="Segoe UI"/>
        </w:rPr>
        <w:t> </w:t>
      </w:r>
    </w:p>
    <w:p w:rsidR="00FC3490" w:rsidRPr="002D2EA4" w:rsidRDefault="00FC3490" w:rsidP="002D2EA4">
      <w:pPr>
        <w:pStyle w:val="ListParagraph"/>
        <w:numPr>
          <w:ilvl w:val="0"/>
          <w:numId w:val="2"/>
        </w:numPr>
        <w:rPr>
          <w:rFonts w:asciiTheme="minorHAnsi" w:hAnsiTheme="minorHAnsi" w:cs="Segoe UI"/>
        </w:rPr>
      </w:pPr>
      <w:r w:rsidRPr="002D2EA4">
        <w:rPr>
          <w:rFonts w:asciiTheme="minorHAnsi" w:hAnsiTheme="minorHAnsi" w:cs="Segoe UI"/>
        </w:rPr>
        <w:t>Regarding BSOG 1A, we welcome the proposal to retain the material.  On balance, we would prefer BSOG to remain because a Handbook provision, even in guidance, carries greater weight than a webpage</w:t>
      </w:r>
      <w:r w:rsidR="002A6B02" w:rsidRPr="002D2EA4">
        <w:rPr>
          <w:rFonts w:asciiTheme="minorHAnsi" w:hAnsiTheme="minorHAnsi" w:cs="Segoe UI"/>
        </w:rPr>
        <w:t xml:space="preserve">, </w:t>
      </w:r>
      <w:r w:rsidRPr="002D2EA4">
        <w:rPr>
          <w:rFonts w:asciiTheme="minorHAnsi" w:hAnsiTheme="minorHAnsi" w:cs="Segoe UI"/>
        </w:rPr>
        <w:t>has stronger visibility</w:t>
      </w:r>
      <w:r w:rsidR="002A6B02" w:rsidRPr="002D2EA4">
        <w:rPr>
          <w:rFonts w:asciiTheme="minorHAnsi" w:hAnsiTheme="minorHAnsi" w:cs="Segoe UI"/>
        </w:rPr>
        <w:t xml:space="preserve"> and will not accidentally be deleted</w:t>
      </w:r>
      <w:r w:rsidRPr="002D2EA4">
        <w:rPr>
          <w:rFonts w:asciiTheme="minorHAnsi" w:hAnsiTheme="minorHAnsi" w:cs="Segoe UI"/>
        </w:rPr>
        <w:t xml:space="preserve">.  However, if BSOG is revoked and the </w:t>
      </w:r>
      <w:r w:rsidR="002B256F">
        <w:rPr>
          <w:rFonts w:asciiTheme="minorHAnsi" w:hAnsiTheme="minorHAnsi" w:cs="Segoe UI"/>
        </w:rPr>
        <w:t xml:space="preserve">entire </w:t>
      </w:r>
      <w:r w:rsidRPr="002D2EA4">
        <w:rPr>
          <w:rFonts w:asciiTheme="minorHAnsi" w:hAnsiTheme="minorHAnsi" w:cs="Segoe UI"/>
        </w:rPr>
        <w:t xml:space="preserve">contents of BSOG </w:t>
      </w:r>
      <w:r w:rsidR="002D2EA4">
        <w:rPr>
          <w:rFonts w:asciiTheme="minorHAnsi" w:hAnsiTheme="minorHAnsi" w:cs="Segoe UI"/>
        </w:rPr>
        <w:t xml:space="preserve">1A </w:t>
      </w:r>
      <w:r w:rsidRPr="002D2EA4">
        <w:rPr>
          <w:rFonts w:asciiTheme="minorHAnsi" w:hAnsiTheme="minorHAnsi" w:cs="Segoe UI"/>
        </w:rPr>
        <w:t>is retained elsewhere on the FCA we</w:t>
      </w:r>
      <w:r w:rsidR="002A6B02" w:rsidRPr="002D2EA4">
        <w:rPr>
          <w:rFonts w:asciiTheme="minorHAnsi" w:hAnsiTheme="minorHAnsi" w:cs="Segoe UI"/>
        </w:rPr>
        <w:t xml:space="preserve">bsite (as we believe would be crucial), </w:t>
      </w:r>
      <w:r w:rsidR="00964B45">
        <w:rPr>
          <w:rFonts w:asciiTheme="minorHAnsi" w:hAnsiTheme="minorHAnsi" w:cs="Segoe UI"/>
        </w:rPr>
        <w:t xml:space="preserve">it would be very important for </w:t>
      </w:r>
      <w:r w:rsidR="002A6B02" w:rsidRPr="002D2EA4">
        <w:rPr>
          <w:rFonts w:asciiTheme="minorHAnsi" w:hAnsiTheme="minorHAnsi" w:cs="Segoe UI"/>
        </w:rPr>
        <w:t xml:space="preserve">the FCA </w:t>
      </w:r>
      <w:r w:rsidR="00964B45">
        <w:rPr>
          <w:rFonts w:asciiTheme="minorHAnsi" w:hAnsiTheme="minorHAnsi" w:cs="Segoe UI"/>
        </w:rPr>
        <w:t>to take</w:t>
      </w:r>
      <w:r w:rsidRPr="002D2EA4">
        <w:rPr>
          <w:rFonts w:asciiTheme="minorHAnsi" w:hAnsiTheme="minorHAnsi" w:cs="Segoe UI"/>
        </w:rPr>
        <w:t xml:space="preserve"> steps to </w:t>
      </w:r>
      <w:r w:rsidR="002A6B02" w:rsidRPr="002D2EA4">
        <w:rPr>
          <w:rFonts w:asciiTheme="minorHAnsi" w:hAnsiTheme="minorHAnsi" w:cs="Segoe UI"/>
        </w:rPr>
        <w:t>ensure that the content was internally flagged as permanent so that it would not accidentally be removed</w:t>
      </w:r>
      <w:r w:rsidR="00964B45">
        <w:rPr>
          <w:rFonts w:asciiTheme="minorHAnsi" w:hAnsiTheme="minorHAnsi" w:cs="Segoe UI"/>
        </w:rPr>
        <w:t>, for example</w:t>
      </w:r>
      <w:r w:rsidR="002A6B02" w:rsidRPr="002D2EA4">
        <w:rPr>
          <w:rFonts w:asciiTheme="minorHAnsi" w:hAnsiTheme="minorHAnsi" w:cs="Segoe UI"/>
        </w:rPr>
        <w:t xml:space="preserve"> in some future reorganisation of the site.</w:t>
      </w:r>
    </w:p>
    <w:p w:rsidR="00FC3490" w:rsidRDefault="00FC3490" w:rsidP="00312B93">
      <w:pPr>
        <w:rPr>
          <w:rFonts w:asciiTheme="minorHAnsi" w:hAnsiTheme="minorHAnsi" w:cs="Segoe UI"/>
          <w:b/>
        </w:rPr>
      </w:pPr>
    </w:p>
    <w:p w:rsidR="002D2EA4" w:rsidRPr="001B7CD7" w:rsidRDefault="002D2EA4" w:rsidP="001B7CD7">
      <w:pPr>
        <w:pStyle w:val="ListParagraph"/>
        <w:numPr>
          <w:ilvl w:val="0"/>
          <w:numId w:val="2"/>
        </w:numPr>
        <w:rPr>
          <w:rFonts w:asciiTheme="minorHAnsi" w:hAnsiTheme="minorHAnsi" w:cs="Segoe UI"/>
        </w:rPr>
      </w:pPr>
      <w:r w:rsidRPr="001B7CD7">
        <w:rPr>
          <w:rFonts w:asciiTheme="minorHAnsi" w:hAnsiTheme="minorHAnsi" w:cs="Segoe UI"/>
        </w:rPr>
        <w:t>The BSA will respond appropriately to t</w:t>
      </w:r>
      <w:r w:rsidR="002B256F">
        <w:rPr>
          <w:rFonts w:asciiTheme="minorHAnsi" w:hAnsiTheme="minorHAnsi" w:cs="Segoe UI"/>
        </w:rPr>
        <w:t>he PRA regarding BSOG 2 and 3</w:t>
      </w:r>
      <w:r w:rsidRPr="001B7CD7">
        <w:rPr>
          <w:rFonts w:asciiTheme="minorHAnsi" w:hAnsiTheme="minorHAnsi" w:cs="Segoe UI"/>
        </w:rPr>
        <w:t>.</w:t>
      </w:r>
    </w:p>
    <w:p w:rsidR="002D2EA4" w:rsidRDefault="002D2EA4" w:rsidP="00312B93">
      <w:pPr>
        <w:rPr>
          <w:rFonts w:asciiTheme="minorHAnsi" w:hAnsiTheme="minorHAnsi" w:cs="Segoe UI"/>
          <w:b/>
        </w:rPr>
      </w:pPr>
    </w:p>
    <w:p w:rsidR="00312B93" w:rsidRPr="00080A76" w:rsidRDefault="00080A76" w:rsidP="00312B93">
      <w:pPr>
        <w:rPr>
          <w:rFonts w:asciiTheme="minorHAnsi" w:hAnsiTheme="minorHAnsi" w:cs="Segoe UI"/>
          <w:b/>
        </w:rPr>
      </w:pPr>
      <w:r w:rsidRPr="00080A76">
        <w:rPr>
          <w:rFonts w:asciiTheme="minorHAnsi" w:hAnsiTheme="minorHAnsi" w:cs="Segoe UI"/>
          <w:b/>
        </w:rPr>
        <w:t>Conclusion</w:t>
      </w:r>
    </w:p>
    <w:p w:rsidR="00080A76" w:rsidRPr="000368A6" w:rsidRDefault="00080A76" w:rsidP="00312B93">
      <w:pPr>
        <w:rPr>
          <w:rFonts w:asciiTheme="minorHAnsi" w:hAnsiTheme="minorHAnsi" w:cs="Segoe UI"/>
        </w:rPr>
      </w:pPr>
    </w:p>
    <w:p w:rsidR="00080A76" w:rsidRPr="001B7CD7" w:rsidRDefault="00312B93" w:rsidP="001B7CD7">
      <w:pPr>
        <w:pStyle w:val="ListParagraph"/>
        <w:numPr>
          <w:ilvl w:val="0"/>
          <w:numId w:val="2"/>
        </w:numPr>
        <w:rPr>
          <w:rFonts w:asciiTheme="minorHAnsi" w:hAnsiTheme="minorHAnsi" w:cs="Segoe UI"/>
        </w:rPr>
      </w:pPr>
      <w:r w:rsidRPr="001B7CD7">
        <w:rPr>
          <w:rFonts w:asciiTheme="minorHAnsi" w:hAnsiTheme="minorHAnsi" w:cs="Segoe UI"/>
        </w:rPr>
        <w:t>In summary, while some</w:t>
      </w:r>
      <w:r w:rsidR="00080A76" w:rsidRPr="001B7CD7">
        <w:rPr>
          <w:rFonts w:asciiTheme="minorHAnsi" w:hAnsiTheme="minorHAnsi" w:cs="Segoe UI"/>
        </w:rPr>
        <w:t xml:space="preserve"> of BSOG (notably BSOG 1) mainly</w:t>
      </w:r>
      <w:r w:rsidRPr="001B7CD7">
        <w:rPr>
          <w:rFonts w:asciiTheme="minorHAnsi" w:hAnsiTheme="minorHAnsi" w:cs="Segoe UI"/>
        </w:rPr>
        <w:t xml:space="preserve"> reflects statutory provisions and BSOG is probably not used on a regular basis by the BSA</w:t>
      </w:r>
      <w:r w:rsidR="00964B45">
        <w:rPr>
          <w:rFonts w:asciiTheme="minorHAnsi" w:hAnsiTheme="minorHAnsi" w:cs="Segoe UI"/>
        </w:rPr>
        <w:t xml:space="preserve"> or its members, there are some </w:t>
      </w:r>
      <w:r w:rsidRPr="001B7CD7">
        <w:rPr>
          <w:rFonts w:asciiTheme="minorHAnsi" w:hAnsiTheme="minorHAnsi" w:cs="Segoe UI"/>
        </w:rPr>
        <w:t xml:space="preserve">provisions in BSOG that are absolutely worthy of retaining.  </w:t>
      </w:r>
    </w:p>
    <w:p w:rsidR="00080A76" w:rsidRDefault="00080A76" w:rsidP="00312B93">
      <w:pPr>
        <w:rPr>
          <w:rFonts w:asciiTheme="minorHAnsi" w:hAnsiTheme="minorHAnsi" w:cs="Segoe UI"/>
        </w:rPr>
      </w:pPr>
    </w:p>
    <w:p w:rsidR="00312B93" w:rsidRPr="001B7CD7" w:rsidRDefault="00312B93" w:rsidP="001B7CD7">
      <w:pPr>
        <w:pStyle w:val="ListParagraph"/>
        <w:numPr>
          <w:ilvl w:val="0"/>
          <w:numId w:val="2"/>
        </w:numPr>
        <w:rPr>
          <w:rFonts w:asciiTheme="minorHAnsi" w:hAnsiTheme="minorHAnsi" w:cs="Segoe UI"/>
        </w:rPr>
      </w:pPr>
      <w:r w:rsidRPr="001B7CD7">
        <w:rPr>
          <w:rFonts w:asciiTheme="minorHAnsi" w:hAnsiTheme="minorHAnsi" w:cs="Segoe UI"/>
        </w:rPr>
        <w:t xml:space="preserve">Because the existence of BSOG also does no harm, </w:t>
      </w:r>
      <w:r w:rsidR="00080A76" w:rsidRPr="001B7CD7">
        <w:rPr>
          <w:rFonts w:asciiTheme="minorHAnsi" w:hAnsiTheme="minorHAnsi" w:cs="Segoe UI"/>
        </w:rPr>
        <w:t xml:space="preserve">and it is quite short, </w:t>
      </w:r>
      <w:r w:rsidRPr="001B7CD7">
        <w:rPr>
          <w:rFonts w:asciiTheme="minorHAnsi" w:hAnsiTheme="minorHAnsi" w:cs="Segoe UI"/>
        </w:rPr>
        <w:t>possibly the simplest course would simply be to retain it in its current form.</w:t>
      </w:r>
      <w:r w:rsidR="002A6B02" w:rsidRPr="001B7CD7">
        <w:rPr>
          <w:rFonts w:asciiTheme="minorHAnsi" w:hAnsiTheme="minorHAnsi" w:cs="Segoe UI"/>
        </w:rPr>
        <w:t xml:space="preserve">  However, </w:t>
      </w:r>
      <w:r w:rsidR="002D2EA4" w:rsidRPr="001B7CD7">
        <w:rPr>
          <w:rFonts w:asciiTheme="minorHAnsi" w:hAnsiTheme="minorHAnsi" w:cs="Segoe UI"/>
        </w:rPr>
        <w:t>provided the material is flagged appropriately, the next best option would be to revoke BSOG and retain BSOG 1A elsewhere</w:t>
      </w:r>
      <w:r w:rsidR="001B7CD7">
        <w:rPr>
          <w:rFonts w:asciiTheme="minorHAnsi" w:hAnsiTheme="minorHAnsi" w:cs="Segoe UI"/>
        </w:rPr>
        <w:t xml:space="preserve">, with the PRA transferring BSOG </w:t>
      </w:r>
      <w:r w:rsidR="00964B45">
        <w:rPr>
          <w:rFonts w:asciiTheme="minorHAnsi" w:hAnsiTheme="minorHAnsi" w:cs="Segoe UI"/>
        </w:rPr>
        <w:t xml:space="preserve">1, </w:t>
      </w:r>
      <w:r w:rsidR="001B7CD7">
        <w:rPr>
          <w:rFonts w:asciiTheme="minorHAnsi" w:hAnsiTheme="minorHAnsi" w:cs="Segoe UI"/>
        </w:rPr>
        <w:t>2 and 3 to a supervisory statement</w:t>
      </w:r>
      <w:r w:rsidR="002D2EA4" w:rsidRPr="001B7CD7">
        <w:rPr>
          <w:rFonts w:asciiTheme="minorHAnsi" w:hAnsiTheme="minorHAnsi" w:cs="Segoe UI"/>
        </w:rPr>
        <w:t>.</w:t>
      </w:r>
    </w:p>
    <w:p w:rsidR="00C50800" w:rsidRPr="000368A6" w:rsidRDefault="00C50800" w:rsidP="004E7AD9">
      <w:pPr>
        <w:rPr>
          <w:rFonts w:asciiTheme="minorHAnsi" w:hAnsiTheme="minorHAnsi"/>
        </w:rPr>
      </w:pPr>
    </w:p>
    <w:p w:rsidR="00730D6B" w:rsidRPr="000368A6" w:rsidRDefault="00730D6B" w:rsidP="00730D6B">
      <w:pPr>
        <w:pStyle w:val="Default"/>
        <w:rPr>
          <w:rFonts w:asciiTheme="minorHAnsi" w:hAnsiTheme="minorHAnsi"/>
          <w:sz w:val="22"/>
          <w:szCs w:val="22"/>
        </w:rPr>
      </w:pPr>
      <w:r w:rsidRPr="000368A6">
        <w:rPr>
          <w:rFonts w:asciiTheme="minorHAnsi" w:hAnsiTheme="minorHAnsi"/>
          <w:sz w:val="22"/>
          <w:szCs w:val="22"/>
        </w:rPr>
        <w:t>NOTE:</w:t>
      </w:r>
    </w:p>
    <w:p w:rsidR="00730D6B" w:rsidRPr="000368A6" w:rsidRDefault="00730D6B" w:rsidP="00730D6B">
      <w:pPr>
        <w:pStyle w:val="Default"/>
        <w:rPr>
          <w:rFonts w:asciiTheme="minorHAnsi" w:hAnsiTheme="minorHAnsi"/>
          <w:sz w:val="22"/>
          <w:szCs w:val="22"/>
        </w:rPr>
      </w:pPr>
    </w:p>
    <w:p w:rsidR="00730D6B" w:rsidRDefault="00730D6B" w:rsidP="00730D6B">
      <w:pPr>
        <w:rPr>
          <w:rFonts w:asciiTheme="minorHAnsi" w:hAnsiTheme="minorHAnsi"/>
        </w:rPr>
      </w:pPr>
      <w:r w:rsidRPr="000368A6">
        <w:rPr>
          <w:rFonts w:asciiTheme="minorHAnsi" w:hAnsiTheme="minorHAnsi"/>
        </w:rPr>
        <w:t>The Building Societies Association (BSA) represents all 44 UK building societies. Building societies have total assets of over £330 billion and together with their subsidiaries, hold residential mortgages of over £240 billion, 19% of the total outstanding in the UK. They hold over £240 billion of retail deposits, accounting for 19% of all such deposits in the UK. Building societies account for about 28% of all cash ISA balances. They employ approximately 39,000 full and part-time staff and operate through approximately 1,550 branches.</w:t>
      </w:r>
    </w:p>
    <w:p w:rsidR="0092148E" w:rsidRDefault="0092148E" w:rsidP="00730D6B">
      <w:pPr>
        <w:rPr>
          <w:rFonts w:asciiTheme="minorHAnsi" w:hAnsiTheme="minorHAnsi"/>
        </w:rPr>
      </w:pPr>
    </w:p>
    <w:p w:rsidR="0092148E" w:rsidRDefault="0092148E" w:rsidP="0092148E">
      <w:pPr>
        <w:jc w:val="right"/>
        <w:rPr>
          <w:rFonts w:asciiTheme="minorHAnsi" w:hAnsiTheme="minorHAnsi"/>
        </w:rPr>
      </w:pPr>
      <w:r>
        <w:rPr>
          <w:rFonts w:asciiTheme="minorHAnsi" w:hAnsiTheme="minorHAnsi"/>
        </w:rPr>
        <w:t xml:space="preserve">BSA </w:t>
      </w:r>
    </w:p>
    <w:p w:rsidR="0092148E" w:rsidRPr="000368A6" w:rsidRDefault="0092148E" w:rsidP="0092148E">
      <w:pPr>
        <w:jc w:val="right"/>
        <w:rPr>
          <w:rFonts w:asciiTheme="minorHAnsi" w:hAnsiTheme="minorHAnsi"/>
        </w:rPr>
      </w:pPr>
      <w:r>
        <w:rPr>
          <w:rFonts w:asciiTheme="minorHAnsi" w:hAnsiTheme="minorHAnsi"/>
        </w:rPr>
        <w:t>13 January 2014</w:t>
      </w:r>
    </w:p>
    <w:sectPr w:rsidR="0092148E" w:rsidRPr="000368A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EC4" w:rsidRDefault="001A4EC4" w:rsidP="00730D6B">
      <w:r>
        <w:separator/>
      </w:r>
    </w:p>
  </w:endnote>
  <w:endnote w:type="continuationSeparator" w:id="0">
    <w:p w:rsidR="001A4EC4" w:rsidRDefault="001A4EC4" w:rsidP="0073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FrutigerLTStd-Bold">
    <w:charset w:val="00"/>
    <w:family w:val="swiss"/>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261551"/>
      <w:docPartObj>
        <w:docPartGallery w:val="Page Numbers (Bottom of Page)"/>
        <w:docPartUnique/>
      </w:docPartObj>
    </w:sdtPr>
    <w:sdtEndPr>
      <w:rPr>
        <w:noProof/>
      </w:rPr>
    </w:sdtEndPr>
    <w:sdtContent>
      <w:p w:rsidR="000368A6" w:rsidRDefault="000368A6">
        <w:pPr>
          <w:pStyle w:val="Footer"/>
          <w:jc w:val="center"/>
        </w:pPr>
        <w:r>
          <w:fldChar w:fldCharType="begin"/>
        </w:r>
        <w:r>
          <w:instrText xml:space="preserve"> PAGE   \* MERGEFORMAT </w:instrText>
        </w:r>
        <w:r>
          <w:fldChar w:fldCharType="separate"/>
        </w:r>
        <w:r w:rsidR="00B068CB">
          <w:rPr>
            <w:noProof/>
          </w:rPr>
          <w:t>1</w:t>
        </w:r>
        <w:r>
          <w:rPr>
            <w:noProof/>
          </w:rPr>
          <w:fldChar w:fldCharType="end"/>
        </w:r>
      </w:p>
    </w:sdtContent>
  </w:sdt>
  <w:p w:rsidR="000368A6" w:rsidRDefault="000368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EC4" w:rsidRDefault="001A4EC4" w:rsidP="00730D6B">
      <w:r>
        <w:separator/>
      </w:r>
    </w:p>
  </w:footnote>
  <w:footnote w:type="continuationSeparator" w:id="0">
    <w:p w:rsidR="001A4EC4" w:rsidRDefault="001A4EC4" w:rsidP="00730D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E7762"/>
    <w:multiLevelType w:val="hybridMultilevel"/>
    <w:tmpl w:val="29C02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7AC3715"/>
    <w:multiLevelType w:val="hybridMultilevel"/>
    <w:tmpl w:val="1FC05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93"/>
    <w:rsid w:val="000368A6"/>
    <w:rsid w:val="00080A76"/>
    <w:rsid w:val="000B0D96"/>
    <w:rsid w:val="001A4EC4"/>
    <w:rsid w:val="001B7CD7"/>
    <w:rsid w:val="002A6B02"/>
    <w:rsid w:val="002B256F"/>
    <w:rsid w:val="002D2EA4"/>
    <w:rsid w:val="00312B93"/>
    <w:rsid w:val="00377E46"/>
    <w:rsid w:val="004379FB"/>
    <w:rsid w:val="004E7AD9"/>
    <w:rsid w:val="006837CA"/>
    <w:rsid w:val="00730D6B"/>
    <w:rsid w:val="007D5822"/>
    <w:rsid w:val="0092148E"/>
    <w:rsid w:val="00964B45"/>
    <w:rsid w:val="00A26B9B"/>
    <w:rsid w:val="00AB292B"/>
    <w:rsid w:val="00B068CB"/>
    <w:rsid w:val="00C50800"/>
    <w:rsid w:val="00CD64EE"/>
    <w:rsid w:val="00E875CC"/>
    <w:rsid w:val="00FC3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F4D28C-57FD-417B-BBE7-427B76A86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D6B"/>
    <w:pPr>
      <w:tabs>
        <w:tab w:val="center" w:pos="4513"/>
        <w:tab w:val="right" w:pos="9026"/>
      </w:tabs>
    </w:pPr>
  </w:style>
  <w:style w:type="character" w:customStyle="1" w:styleId="HeaderChar">
    <w:name w:val="Header Char"/>
    <w:basedOn w:val="DefaultParagraphFont"/>
    <w:link w:val="Header"/>
    <w:rsid w:val="00730D6B"/>
    <w:rPr>
      <w:rFonts w:ascii="Arial" w:hAnsi="Arial" w:cs="Arial"/>
      <w:sz w:val="22"/>
      <w:szCs w:val="22"/>
    </w:rPr>
  </w:style>
  <w:style w:type="paragraph" w:styleId="Footer">
    <w:name w:val="footer"/>
    <w:basedOn w:val="Normal"/>
    <w:link w:val="FooterChar"/>
    <w:uiPriority w:val="99"/>
    <w:rsid w:val="00730D6B"/>
    <w:pPr>
      <w:tabs>
        <w:tab w:val="center" w:pos="4513"/>
        <w:tab w:val="right" w:pos="9026"/>
      </w:tabs>
    </w:pPr>
  </w:style>
  <w:style w:type="character" w:customStyle="1" w:styleId="FooterChar">
    <w:name w:val="Footer Char"/>
    <w:basedOn w:val="DefaultParagraphFont"/>
    <w:link w:val="Footer"/>
    <w:uiPriority w:val="99"/>
    <w:rsid w:val="00730D6B"/>
    <w:rPr>
      <w:rFonts w:ascii="Arial" w:hAnsi="Arial" w:cs="Arial"/>
      <w:sz w:val="22"/>
      <w:szCs w:val="22"/>
    </w:rPr>
  </w:style>
  <w:style w:type="paragraph" w:customStyle="1" w:styleId="Default">
    <w:name w:val="Default"/>
    <w:rsid w:val="00730D6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379FB"/>
    <w:pPr>
      <w:ind w:left="720"/>
      <w:contextualSpacing/>
    </w:pPr>
  </w:style>
  <w:style w:type="paragraph" w:styleId="BalloonText">
    <w:name w:val="Balloon Text"/>
    <w:basedOn w:val="Normal"/>
    <w:link w:val="BalloonTextChar"/>
    <w:rsid w:val="001B7CD7"/>
    <w:rPr>
      <w:rFonts w:ascii="Segoe UI" w:hAnsi="Segoe UI" w:cs="Segoe UI"/>
      <w:sz w:val="18"/>
      <w:szCs w:val="18"/>
    </w:rPr>
  </w:style>
  <w:style w:type="character" w:customStyle="1" w:styleId="BalloonTextChar">
    <w:name w:val="Balloon Text Char"/>
    <w:basedOn w:val="DefaultParagraphFont"/>
    <w:link w:val="BalloonText"/>
    <w:rsid w:val="001B7C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006118">
      <w:bodyDiv w:val="1"/>
      <w:marLeft w:val="60"/>
      <w:marRight w:val="60"/>
      <w:marTop w:val="60"/>
      <w:marBottom w:val="15"/>
      <w:divBdr>
        <w:top w:val="none" w:sz="0" w:space="0" w:color="auto"/>
        <w:left w:val="none" w:sz="0" w:space="0" w:color="auto"/>
        <w:bottom w:val="none" w:sz="0" w:space="0" w:color="auto"/>
        <w:right w:val="none" w:sz="0" w:space="0" w:color="auto"/>
      </w:divBdr>
      <w:divsChild>
        <w:div w:id="1752120904">
          <w:marLeft w:val="0"/>
          <w:marRight w:val="0"/>
          <w:marTop w:val="0"/>
          <w:marBottom w:val="0"/>
          <w:divBdr>
            <w:top w:val="none" w:sz="0" w:space="0" w:color="auto"/>
            <w:left w:val="none" w:sz="0" w:space="0" w:color="auto"/>
            <w:bottom w:val="none" w:sz="0" w:space="0" w:color="auto"/>
            <w:right w:val="none" w:sz="0" w:space="0" w:color="auto"/>
          </w:divBdr>
        </w:div>
        <w:div w:id="1571889373">
          <w:marLeft w:val="0"/>
          <w:marRight w:val="0"/>
          <w:marTop w:val="0"/>
          <w:marBottom w:val="0"/>
          <w:divBdr>
            <w:top w:val="none" w:sz="0" w:space="0" w:color="auto"/>
            <w:left w:val="none" w:sz="0" w:space="0" w:color="auto"/>
            <w:bottom w:val="none" w:sz="0" w:space="0" w:color="auto"/>
            <w:right w:val="none" w:sz="0" w:space="0" w:color="auto"/>
          </w:divBdr>
        </w:div>
        <w:div w:id="1646200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Lawrenson</dc:creator>
  <cp:keywords/>
  <dc:description/>
  <cp:lastModifiedBy>aesteban</cp:lastModifiedBy>
  <cp:revision>2</cp:revision>
  <cp:lastPrinted>2015-01-13T12:19:00Z</cp:lastPrinted>
  <dcterms:created xsi:type="dcterms:W3CDTF">2015-01-13T14:35:00Z</dcterms:created>
  <dcterms:modified xsi:type="dcterms:W3CDTF">2015-01-13T14:35:00Z</dcterms:modified>
</cp:coreProperties>
</file>