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7484" w:type="dxa"/>
        <w:tblInd w:w="-2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484"/>
      </w:tblGrid>
      <w:tr w:rsidR="005966D1" w:rsidRPr="008942CB" w:rsidTr="005966D1">
        <w:trPr>
          <w:trHeight w:hRule="exact" w:val="1136"/>
        </w:trPr>
        <w:tc>
          <w:tcPr>
            <w:tcW w:w="11243" w:type="dxa"/>
            <w:shd w:val="clear" w:color="auto" w:fill="auto"/>
          </w:tcPr>
          <w:p w:rsidR="005966D1" w:rsidRPr="008942CB" w:rsidRDefault="005966D1" w:rsidP="0008572E">
            <w:pPr>
              <w:ind w:left="851"/>
            </w:pPr>
          </w:p>
        </w:tc>
      </w:tr>
      <w:tr w:rsidR="005966D1" w:rsidRPr="008942CB" w:rsidTr="000C5B60">
        <w:trPr>
          <w:trHeight w:hRule="exact" w:val="8959"/>
        </w:trPr>
        <w:tc>
          <w:tcPr>
            <w:tcW w:w="11243" w:type="dxa"/>
            <w:shd w:val="clear" w:color="auto" w:fill="F1B434" w:themeFill="text2"/>
          </w:tcPr>
          <w:p w:rsidR="005966D1" w:rsidRPr="008942CB" w:rsidRDefault="005966D1" w:rsidP="0008572E">
            <w:pPr>
              <w:ind w:left="851"/>
            </w:pPr>
          </w:p>
          <w:p w:rsidR="00B0715B" w:rsidRDefault="00023236" w:rsidP="00EF4910">
            <w:pPr>
              <w:pStyle w:val="Documenttitle"/>
            </w:pPr>
            <w:bookmarkStart w:id="0" w:name="title"/>
            <w:bookmarkEnd w:id="0"/>
            <w:r>
              <w:t>BSA response to FCA Call for Inputs on Open Finance</w:t>
            </w:r>
          </w:p>
          <w:p w:rsidR="00023236" w:rsidRDefault="00023236" w:rsidP="00023236">
            <w:pPr>
              <w:pStyle w:val="Documentsubtitle"/>
            </w:pPr>
          </w:p>
          <w:p w:rsidR="00023236" w:rsidRDefault="00023236" w:rsidP="00023236">
            <w:pPr>
              <w:pStyle w:val="Documentstatus"/>
            </w:pPr>
            <w:r>
              <w:t>Restricted</w:t>
            </w:r>
          </w:p>
          <w:p w:rsidR="00023236" w:rsidRPr="00023236" w:rsidRDefault="00A611AD" w:rsidP="00023236">
            <w:pPr>
              <w:pStyle w:val="Documentdate"/>
            </w:pPr>
            <w:r>
              <w:t>1 October</w:t>
            </w:r>
            <w:r w:rsidR="00023236">
              <w:t xml:space="preserve"> 2020</w:t>
            </w:r>
          </w:p>
        </w:tc>
      </w:tr>
      <w:tr w:rsidR="005966D1" w:rsidRPr="008942CB" w:rsidTr="000C5B60">
        <w:trPr>
          <w:trHeight w:hRule="exact" w:val="1588"/>
        </w:trPr>
        <w:tc>
          <w:tcPr>
            <w:tcW w:w="11243" w:type="dxa"/>
            <w:shd w:val="clear" w:color="auto" w:fill="F1B434" w:themeFill="text2"/>
            <w:vAlign w:val="center"/>
          </w:tcPr>
          <w:p w:rsidR="005966D1" w:rsidRPr="008942CB" w:rsidRDefault="00A965F2" w:rsidP="0008572E">
            <w:pPr>
              <w:ind w:left="851"/>
            </w:pPr>
            <w:r w:rsidRPr="00A965F2">
              <w:rPr>
                <w:noProof/>
                <w:lang w:eastAsia="en-GB"/>
              </w:rPr>
              <w:drawing>
                <wp:inline distT="0" distB="0" distL="0" distR="0" wp14:anchorId="063674FC" wp14:editId="7232903B">
                  <wp:extent cx="2032560" cy="361621"/>
                  <wp:effectExtent l="0" t="0" r="6350" b="635"/>
                  <wp:docPr id="8" name="Picture 7">
                    <a:extLst xmlns:a="http://schemas.openxmlformats.org/drawingml/2006/main">
                      <a:ext uri="{FF2B5EF4-FFF2-40B4-BE49-F238E27FC236}">
                        <a16:creationId xmlns:a16="http://schemas.microsoft.com/office/drawing/2014/main" id="{C3867ECD-2173-4D4F-83FD-E882C8A911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C3867ECD-2173-4D4F-83FD-E882C8A9118A}"/>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032560" cy="361621"/>
                          </a:xfrm>
                          <a:prstGeom prst="rect">
                            <a:avLst/>
                          </a:prstGeom>
                        </pic:spPr>
                      </pic:pic>
                    </a:graphicData>
                  </a:graphic>
                </wp:inline>
              </w:drawing>
            </w:r>
          </w:p>
        </w:tc>
      </w:tr>
    </w:tbl>
    <w:p w:rsidR="004E7D28" w:rsidRPr="008942CB" w:rsidRDefault="004E7D28"/>
    <w:p w:rsidR="003114C2" w:rsidRPr="008942CB" w:rsidRDefault="003114C2"/>
    <w:p w:rsidR="003114C2" w:rsidRPr="008942CB" w:rsidRDefault="003114C2">
      <w:pPr>
        <w:sectPr w:rsidR="003114C2" w:rsidRPr="008942CB" w:rsidSect="003114C2">
          <w:pgSz w:w="11906" w:h="16838" w:code="9"/>
          <w:pgMar w:top="851" w:right="851" w:bottom="1418" w:left="2580" w:header="567" w:footer="567" w:gutter="0"/>
          <w:cols w:space="708"/>
          <w:docGrid w:linePitch="360"/>
        </w:sectPr>
      </w:pPr>
    </w:p>
    <w:p w:rsidR="0076614E" w:rsidRPr="008942CB" w:rsidRDefault="00CA4B6A" w:rsidP="009C0A07">
      <w:pPr>
        <w:pStyle w:val="Heading1"/>
      </w:pPr>
      <w:r>
        <w:lastRenderedPageBreak/>
        <w:t>Summary</w:t>
      </w:r>
    </w:p>
    <w:p w:rsidR="00940E56" w:rsidRPr="00926C08" w:rsidRDefault="003053B4" w:rsidP="00510764">
      <w:r w:rsidRPr="00926C08">
        <w:t>The Building Societies Association represents all 43 UK building societies and six credit unions.</w:t>
      </w:r>
    </w:p>
    <w:p w:rsidR="007F677D" w:rsidRPr="00926C08" w:rsidRDefault="00CA4B6A" w:rsidP="00926C08">
      <w:r w:rsidRPr="00926C08">
        <w:t>With the exception of the BSA’s largest member</w:t>
      </w:r>
      <w:r w:rsidR="007F677D" w:rsidRPr="00926C08">
        <w:t xml:space="preserve"> Nationwide</w:t>
      </w:r>
      <w:r w:rsidRPr="00926C08">
        <w:t xml:space="preserve">, building societies were </w:t>
      </w:r>
      <w:r w:rsidR="007F677D" w:rsidRPr="00926C08">
        <w:t xml:space="preserve">not </w:t>
      </w:r>
      <w:r w:rsidRPr="00926C08">
        <w:t>part of the nine organi</w:t>
      </w:r>
      <w:r w:rsidR="007F677D" w:rsidRPr="00926C08">
        <w:t xml:space="preserve">sations </w:t>
      </w:r>
      <w:r w:rsidR="003053B4" w:rsidRPr="00926C08">
        <w:t>effected by</w:t>
      </w:r>
      <w:r w:rsidRPr="00926C08">
        <w:t xml:space="preserve"> the Competition</w:t>
      </w:r>
      <w:r w:rsidR="007F677D" w:rsidRPr="00926C08">
        <w:t xml:space="preserve"> and Markets Authority’s 2016 report that introduced a range of remedies to boost competition in retail banking, including the setting up of Open Banking standards.</w:t>
      </w:r>
    </w:p>
    <w:p w:rsidR="00D72F76" w:rsidRDefault="00D72F76" w:rsidP="00926C08">
      <w:r>
        <w:t>A</w:t>
      </w:r>
      <w:r w:rsidR="003053B4" w:rsidRPr="00926C08">
        <w:t xml:space="preserve"> number of mutual organisations are already starting to use Open Banking in their systems and processes, in particular for assessing mortgage</w:t>
      </w:r>
      <w:r w:rsidR="00510764">
        <w:t xml:space="preserve"> affordability or </w:t>
      </w:r>
      <w:r w:rsidR="003053B4" w:rsidRPr="00926C08">
        <w:t>collections</w:t>
      </w:r>
      <w:r>
        <w:t xml:space="preserve"> and helping members to save</w:t>
      </w:r>
      <w:r w:rsidR="00510764">
        <w:t xml:space="preserve"> or plan financially</w:t>
      </w:r>
      <w:r w:rsidR="003053B4" w:rsidRPr="00926C08">
        <w:t xml:space="preserve">. </w:t>
      </w:r>
    </w:p>
    <w:p w:rsidR="00854846" w:rsidRPr="00926C08" w:rsidRDefault="003053B4" w:rsidP="00926C08">
      <w:r w:rsidRPr="00926C08">
        <w:t>Many see Open Banking and open data in general as an opportunity to empower customers to better understand their finances and for them as organisations to provide new solutions for their customers’ needs.</w:t>
      </w:r>
    </w:p>
    <w:p w:rsidR="00854846" w:rsidRDefault="003053B4" w:rsidP="00926C08">
      <w:r w:rsidRPr="00926C08">
        <w:t>However,</w:t>
      </w:r>
      <w:r w:rsidR="00854846">
        <w:t xml:space="preserve"> members have also identified the below concerns:</w:t>
      </w:r>
    </w:p>
    <w:p w:rsidR="003053B4" w:rsidRPr="00926C08" w:rsidRDefault="00854846" w:rsidP="00926C08">
      <w:r w:rsidRPr="00854846">
        <w:rPr>
          <w:b/>
        </w:rPr>
        <w:t>Disintermediation</w:t>
      </w:r>
      <w:r>
        <w:t xml:space="preserve"> -</w:t>
      </w:r>
      <w:r w:rsidR="003053B4" w:rsidRPr="00926C08">
        <w:t xml:space="preserve"> </w:t>
      </w:r>
      <w:r>
        <w:t>There are concerns that</w:t>
      </w:r>
      <w:r w:rsidR="003053B4" w:rsidRPr="00926C08">
        <w:t xml:space="preserve"> Open Finance poses a potential threat to traditional mutual organisations by purely focusing on price and increasing disintermediation. </w:t>
      </w:r>
      <w:r w:rsidR="00510764">
        <w:t>Given the majority of building societies and credit unions have a high street presence and are deeply connected with their local communities, there are also concerns about the impact this effect could have on customers who do not want to operate their finances digitally.</w:t>
      </w:r>
    </w:p>
    <w:p w:rsidR="003053B4" w:rsidRPr="00926C08" w:rsidRDefault="00854846" w:rsidP="00926C08">
      <w:r w:rsidRPr="00854846">
        <w:rPr>
          <w:b/>
        </w:rPr>
        <w:t>Lack of trust in digital services</w:t>
      </w:r>
      <w:r>
        <w:t xml:space="preserve"> - </w:t>
      </w:r>
      <w:r w:rsidR="003053B4" w:rsidRPr="00926C08">
        <w:t>There are also concerns that it runs the risk of focusing on specific digital services and solutions rather than addressing underlying structural problems, such as a lack of trust in d</w:t>
      </w:r>
      <w:r w:rsidR="00940E56">
        <w:t>igital services among consumers.</w:t>
      </w:r>
      <w:r>
        <w:t xml:space="preserve"> FCA support of the establishment of digital identity and verification (digital ID&amp;V) standards and promoting</w:t>
      </w:r>
      <w:r w:rsidRPr="00926C08">
        <w:t xml:space="preserve"> these to consumers</w:t>
      </w:r>
      <w:r>
        <w:t xml:space="preserve"> could be one option to consider</w:t>
      </w:r>
      <w:r w:rsidRPr="00926C08">
        <w:t>.</w:t>
      </w:r>
    </w:p>
    <w:p w:rsidR="00510764" w:rsidRDefault="00854846" w:rsidP="00926C08">
      <w:r w:rsidRPr="00854846">
        <w:rPr>
          <w:b/>
        </w:rPr>
        <w:t>Pan-industry approach on API standards</w:t>
      </w:r>
      <w:r>
        <w:t xml:space="preserve"> - </w:t>
      </w:r>
      <w:r w:rsidR="003053B4" w:rsidRPr="00926C08">
        <w:t>The Call for Input mentions the work of other UK industries and Government to open access to data</w:t>
      </w:r>
      <w:r w:rsidR="00D72F76">
        <w:t>, suc</w:t>
      </w:r>
      <w:r w:rsidR="00F05F25">
        <w:t>h as the department for</w:t>
      </w:r>
      <w:r w:rsidR="00F05F25" w:rsidRPr="00F05F25">
        <w:t xml:space="preserve"> business energy and industrial strategy</w:t>
      </w:r>
      <w:r w:rsidR="00F05F25">
        <w:t>’s (BEIS) Smart D</w:t>
      </w:r>
      <w:r w:rsidR="00F05F25" w:rsidRPr="00F05F25">
        <w:t>ata</w:t>
      </w:r>
      <w:r w:rsidR="00D72F76">
        <w:t xml:space="preserve"> </w:t>
      </w:r>
      <w:r w:rsidR="00F05F25">
        <w:t>report</w:t>
      </w:r>
      <w:r w:rsidR="003053B4" w:rsidRPr="00926C08">
        <w:t xml:space="preserve">. </w:t>
      </w:r>
      <w:r w:rsidR="00926C08">
        <w:t xml:space="preserve">Some members have highlighted that they would be keen to see </w:t>
      </w:r>
      <w:r w:rsidR="003053B4" w:rsidRPr="00926C08">
        <w:t xml:space="preserve">Open Finance </w:t>
      </w:r>
      <w:r>
        <w:t xml:space="preserve">as </w:t>
      </w:r>
      <w:r w:rsidR="00926C08">
        <w:t xml:space="preserve">part of a pan-industry </w:t>
      </w:r>
      <w:r>
        <w:t xml:space="preserve">approach to </w:t>
      </w:r>
      <w:r w:rsidR="00926C08">
        <w:t>opening of data</w:t>
      </w:r>
      <w:r w:rsidR="003053B4" w:rsidRPr="00926C08">
        <w:t xml:space="preserve"> rather than a separate standard setting body</w:t>
      </w:r>
      <w:r>
        <w:t xml:space="preserve"> within financial services</w:t>
      </w:r>
      <w:r w:rsidR="003053B4" w:rsidRPr="00926C08">
        <w:t>.</w:t>
      </w:r>
      <w:r>
        <w:t xml:space="preserve"> Given the high cost of setting up Open Banking, this would also be a means of spreading costs across sectors and leveraging expertise. </w:t>
      </w:r>
      <w:r w:rsidR="003053B4" w:rsidRPr="00926C08">
        <w:t xml:space="preserve"> </w:t>
      </w:r>
    </w:p>
    <w:p w:rsidR="00926C08" w:rsidRPr="00F05F25" w:rsidRDefault="00926C08" w:rsidP="00926C08">
      <w:pPr>
        <w:rPr>
          <w:b/>
        </w:rPr>
      </w:pPr>
      <w:r w:rsidRPr="00F05F25">
        <w:rPr>
          <w:b/>
        </w:rPr>
        <w:t>Questions:</w:t>
      </w:r>
    </w:p>
    <w:p w:rsidR="003053B4" w:rsidRPr="00926C08" w:rsidRDefault="003053B4" w:rsidP="00926C08">
      <w:pPr>
        <w:rPr>
          <w:b/>
        </w:rPr>
      </w:pPr>
      <w:r w:rsidRPr="00926C08">
        <w:rPr>
          <w:b/>
        </w:rPr>
        <w:t>Q1: What action can we take to help ensure the potential of open banking is maximised, for instance to support the development of new open banking services? </w:t>
      </w:r>
    </w:p>
    <w:p w:rsidR="003053B4" w:rsidRDefault="003053B4" w:rsidP="00926C08">
      <w:r w:rsidRPr="00926C08">
        <w:t>Support the establishment of digital ID&amp;V standards and promote these to consumers. The BSA has carried out a consumer survey on attitudes to digital</w:t>
      </w:r>
      <w:r w:rsidR="006C162F">
        <w:rPr>
          <w:rStyle w:val="EndnoteReference"/>
        </w:rPr>
        <w:endnoteReference w:id="1"/>
      </w:r>
      <w:r w:rsidRPr="00926C08">
        <w:t xml:space="preserve"> over the last three years and while there is growing interest in digital services, in particular where services provide greater insight into savings or a faster service for a mortgage, there remains distrust when it comes to digital services overall. While our research shows consumers warming to propositions over time, supporting the establishment of digital</w:t>
      </w:r>
      <w:r w:rsidR="00926C08">
        <w:t xml:space="preserve"> ID</w:t>
      </w:r>
      <w:r w:rsidR="00854846">
        <w:t>&amp;V</w:t>
      </w:r>
      <w:r w:rsidR="00926C08">
        <w:t xml:space="preserve"> standards c</w:t>
      </w:r>
      <w:r w:rsidRPr="00926C08">
        <w:t xml:space="preserve">ould </w:t>
      </w:r>
      <w:r w:rsidR="00926C08">
        <w:t xml:space="preserve">potentially </w:t>
      </w:r>
      <w:r w:rsidRPr="00926C08">
        <w:t>help support this.</w:t>
      </w:r>
    </w:p>
    <w:p w:rsidR="00510764" w:rsidRPr="00926C08" w:rsidRDefault="00510764" w:rsidP="00926C08">
      <w:r>
        <w:t>Allow the</w:t>
      </w:r>
      <w:r w:rsidRPr="00926C08">
        <w:t xml:space="preserve"> UK financial services sector the time to develop new propositions on the new infrastructure that has been put in place.</w:t>
      </w:r>
    </w:p>
    <w:p w:rsidR="003053B4" w:rsidRPr="00926C08" w:rsidRDefault="003053B4" w:rsidP="00926C08">
      <w:pPr>
        <w:rPr>
          <w:b/>
        </w:rPr>
      </w:pPr>
      <w:r w:rsidRPr="00926C08">
        <w:rPr>
          <w:b/>
        </w:rPr>
        <w:t>Q2: We are interested in your views on what open banking teaches us about the potential development of open finance. </w:t>
      </w:r>
    </w:p>
    <w:p w:rsidR="003053B4" w:rsidRPr="00632206" w:rsidRDefault="003053B4" w:rsidP="00632206">
      <w:r w:rsidRPr="00926C08">
        <w:lastRenderedPageBreak/>
        <w:t xml:space="preserve">The limited take up of Open Banking to date highlights that consumers require time getting comfortable with new services and that the true benefits may be for uses not envisaged by either regulators or even the </w:t>
      </w:r>
      <w:r w:rsidRPr="00632206">
        <w:t>bodies involved in setting the standards. </w:t>
      </w:r>
    </w:p>
    <w:p w:rsidR="003053B4" w:rsidRPr="00632206" w:rsidRDefault="003053B4" w:rsidP="00632206">
      <w:r w:rsidRPr="00632206">
        <w:t xml:space="preserve">It also suggests that the current approach with Open Banking has been too narrow to develop compelling propositions for consumers. While Open Finance could be seen as a natural widening of this approach, taking a pan-industry approach to open data (eg Government, utilities, financial services and telecommunications) as seen in </w:t>
      </w:r>
      <w:r w:rsidR="00854846">
        <w:t xml:space="preserve">other countries like </w:t>
      </w:r>
      <w:r w:rsidRPr="00632206">
        <w:t xml:space="preserve">Australia could </w:t>
      </w:r>
      <w:r w:rsidR="00926C08" w:rsidRPr="00632206">
        <w:t>ensure that new propositions gain traction.</w:t>
      </w:r>
    </w:p>
    <w:p w:rsidR="003053B4" w:rsidRPr="00632206" w:rsidRDefault="003053B4" w:rsidP="00632206">
      <w:pPr>
        <w:rPr>
          <w:rFonts w:eastAsia="Times New Roman" w:cs="Times New Roman"/>
          <w:lang w:eastAsia="en-GB"/>
        </w:rPr>
      </w:pPr>
      <w:r w:rsidRPr="00632206">
        <w:rPr>
          <w:rFonts w:eastAsia="Times New Roman" w:cs="Arial"/>
          <w:b/>
          <w:bCs/>
          <w:color w:val="000000"/>
          <w:lang w:eastAsia="en-GB"/>
        </w:rPr>
        <w:t>Q3: Do you agree with our definition of open finance? </w:t>
      </w:r>
    </w:p>
    <w:p w:rsidR="00854846" w:rsidRDefault="00632206" w:rsidP="00632206">
      <w:pPr>
        <w:rPr>
          <w:rFonts w:eastAsia="Times New Roman" w:cs="Arial"/>
          <w:color w:val="000000"/>
          <w:lang w:eastAsia="en-GB"/>
        </w:rPr>
      </w:pPr>
      <w:r>
        <w:rPr>
          <w:rFonts w:eastAsia="Times New Roman" w:cs="Arial"/>
          <w:color w:val="000000"/>
          <w:lang w:eastAsia="en-GB"/>
        </w:rPr>
        <w:t xml:space="preserve">Yes – but that it should be reframed in the context of open data </w:t>
      </w:r>
      <w:r w:rsidR="00510764">
        <w:rPr>
          <w:rFonts w:eastAsia="Times New Roman" w:cs="Arial"/>
          <w:color w:val="000000"/>
          <w:lang w:eastAsia="en-GB"/>
        </w:rPr>
        <w:t xml:space="preserve">standards </w:t>
      </w:r>
      <w:r w:rsidR="00854846">
        <w:rPr>
          <w:rFonts w:eastAsia="Times New Roman" w:cs="Arial"/>
          <w:color w:val="000000"/>
          <w:lang w:eastAsia="en-GB"/>
        </w:rPr>
        <w:t>across industries.</w:t>
      </w:r>
    </w:p>
    <w:p w:rsidR="003053B4" w:rsidRPr="00632206" w:rsidRDefault="003053B4" w:rsidP="00632206">
      <w:pPr>
        <w:rPr>
          <w:rFonts w:eastAsia="Times New Roman" w:cs="Times New Roman"/>
          <w:lang w:eastAsia="en-GB"/>
        </w:rPr>
      </w:pPr>
      <w:r w:rsidRPr="00632206">
        <w:rPr>
          <w:rFonts w:eastAsia="Times New Roman" w:cs="Arial"/>
          <w:b/>
          <w:bCs/>
          <w:color w:val="000000"/>
          <w:lang w:eastAsia="en-GB"/>
        </w:rPr>
        <w:t>Q4: Do you agree with our assessment of the potential benefits of open finance? Are there others? </w:t>
      </w:r>
    </w:p>
    <w:p w:rsidR="00632206" w:rsidRDefault="003053B4" w:rsidP="00632206">
      <w:pPr>
        <w:rPr>
          <w:rFonts w:eastAsia="Times New Roman" w:cs="Arial"/>
          <w:color w:val="000000"/>
          <w:lang w:eastAsia="en-GB"/>
        </w:rPr>
      </w:pPr>
      <w:r w:rsidRPr="00632206">
        <w:rPr>
          <w:rFonts w:eastAsia="Times New Roman" w:cs="Arial"/>
          <w:color w:val="000000"/>
          <w:lang w:eastAsia="en-GB"/>
        </w:rPr>
        <w:t>Many of the potential services offered by open</w:t>
      </w:r>
      <w:r w:rsidR="00632206">
        <w:rPr>
          <w:rFonts w:eastAsia="Times New Roman" w:cs="Arial"/>
          <w:color w:val="000000"/>
          <w:lang w:eastAsia="en-GB"/>
        </w:rPr>
        <w:t xml:space="preserve"> data</w:t>
      </w:r>
      <w:r w:rsidRPr="00632206">
        <w:rPr>
          <w:rFonts w:eastAsia="Times New Roman" w:cs="Arial"/>
          <w:color w:val="000000"/>
          <w:lang w:eastAsia="en-GB"/>
        </w:rPr>
        <w:t xml:space="preserve"> are already being developed by T</w:t>
      </w:r>
      <w:r w:rsidR="00854846">
        <w:rPr>
          <w:rFonts w:eastAsia="Times New Roman" w:cs="Arial"/>
          <w:color w:val="000000"/>
          <w:lang w:eastAsia="en-GB"/>
        </w:rPr>
        <w:t>hird Party Providers (T</w:t>
      </w:r>
      <w:r w:rsidRPr="00632206">
        <w:rPr>
          <w:rFonts w:eastAsia="Times New Roman" w:cs="Arial"/>
          <w:color w:val="000000"/>
          <w:lang w:eastAsia="en-GB"/>
        </w:rPr>
        <w:t>PPs</w:t>
      </w:r>
      <w:r w:rsidR="00854846">
        <w:rPr>
          <w:rFonts w:eastAsia="Times New Roman" w:cs="Arial"/>
          <w:color w:val="000000"/>
          <w:lang w:eastAsia="en-GB"/>
        </w:rPr>
        <w:t>)</w:t>
      </w:r>
      <w:r w:rsidR="00632206">
        <w:rPr>
          <w:rFonts w:eastAsia="Times New Roman" w:cs="Arial"/>
          <w:color w:val="000000"/>
          <w:lang w:eastAsia="en-GB"/>
        </w:rPr>
        <w:t xml:space="preserve"> and widening access to other financial services products and other industries will only make propositions more compelling</w:t>
      </w:r>
      <w:r w:rsidRPr="00632206">
        <w:rPr>
          <w:rFonts w:eastAsia="Times New Roman" w:cs="Arial"/>
          <w:color w:val="000000"/>
          <w:lang w:eastAsia="en-GB"/>
        </w:rPr>
        <w:t xml:space="preserve">. </w:t>
      </w:r>
    </w:p>
    <w:p w:rsidR="003053B4" w:rsidRPr="00632206" w:rsidRDefault="00C55841" w:rsidP="00632206">
      <w:pPr>
        <w:rPr>
          <w:rFonts w:eastAsia="Times New Roman" w:cs="Times New Roman"/>
          <w:lang w:eastAsia="en-GB"/>
        </w:rPr>
      </w:pPr>
      <w:r>
        <w:rPr>
          <w:rFonts w:eastAsia="Times New Roman" w:cs="Arial"/>
          <w:color w:val="000000"/>
          <w:lang w:eastAsia="en-GB"/>
        </w:rPr>
        <w:t>E</w:t>
      </w:r>
      <w:r w:rsidR="003053B4" w:rsidRPr="00632206">
        <w:rPr>
          <w:rFonts w:eastAsia="Times New Roman" w:cs="Arial"/>
          <w:color w:val="000000"/>
          <w:lang w:eastAsia="en-GB"/>
        </w:rPr>
        <w:t>ven with a greater range of product data feeding into service</w:t>
      </w:r>
      <w:r w:rsidR="00632206">
        <w:rPr>
          <w:rFonts w:eastAsia="Times New Roman" w:cs="Arial"/>
          <w:color w:val="000000"/>
          <w:lang w:eastAsia="en-GB"/>
        </w:rPr>
        <w:t xml:space="preserve">s, our consumer research highlights a </w:t>
      </w:r>
      <w:r w:rsidR="003053B4" w:rsidRPr="00632206">
        <w:rPr>
          <w:rFonts w:eastAsia="Times New Roman" w:cs="Arial"/>
          <w:color w:val="000000"/>
          <w:lang w:eastAsia="en-GB"/>
        </w:rPr>
        <w:t>la</w:t>
      </w:r>
      <w:r w:rsidR="00632206">
        <w:rPr>
          <w:rFonts w:eastAsia="Times New Roman" w:cs="Arial"/>
          <w:color w:val="000000"/>
          <w:lang w:eastAsia="en-GB"/>
        </w:rPr>
        <w:t xml:space="preserve">ck of trust towards digital services. </w:t>
      </w:r>
      <w:r w:rsidR="00463810">
        <w:rPr>
          <w:rFonts w:eastAsia="Times New Roman" w:cs="Arial"/>
          <w:color w:val="000000"/>
          <w:lang w:eastAsia="en-GB"/>
        </w:rPr>
        <w:t xml:space="preserve">Greater focus on </w:t>
      </w:r>
      <w:r w:rsidR="00786833">
        <w:rPr>
          <w:rFonts w:eastAsia="Times New Roman" w:cs="Arial"/>
          <w:color w:val="000000"/>
          <w:lang w:eastAsia="en-GB"/>
        </w:rPr>
        <w:t xml:space="preserve">promoting standards and trust </w:t>
      </w:r>
      <w:r>
        <w:rPr>
          <w:rFonts w:eastAsia="Times New Roman" w:cs="Arial"/>
          <w:color w:val="000000"/>
          <w:lang w:eastAsia="en-GB"/>
        </w:rPr>
        <w:t>in</w:t>
      </w:r>
      <w:r w:rsidR="006C162F">
        <w:rPr>
          <w:rFonts w:eastAsia="Times New Roman" w:cs="Arial"/>
          <w:color w:val="000000"/>
          <w:lang w:eastAsia="en-GB"/>
        </w:rPr>
        <w:t xml:space="preserve"> </w:t>
      </w:r>
      <w:r w:rsidR="00463810">
        <w:rPr>
          <w:rFonts w:eastAsia="Times New Roman" w:cs="Arial"/>
          <w:color w:val="000000"/>
          <w:lang w:eastAsia="en-GB"/>
        </w:rPr>
        <w:t xml:space="preserve">digital </w:t>
      </w:r>
      <w:r w:rsidR="00854846">
        <w:rPr>
          <w:rFonts w:eastAsia="Times New Roman" w:cs="Arial"/>
          <w:color w:val="000000"/>
          <w:lang w:eastAsia="en-GB"/>
        </w:rPr>
        <w:t>ID&amp;V</w:t>
      </w:r>
      <w:r w:rsidR="00786833">
        <w:rPr>
          <w:rFonts w:eastAsia="Times New Roman" w:cs="Arial"/>
          <w:color w:val="000000"/>
          <w:lang w:eastAsia="en-GB"/>
        </w:rPr>
        <w:t xml:space="preserve"> services could potentially improve this. </w:t>
      </w:r>
    </w:p>
    <w:p w:rsidR="00786833" w:rsidRDefault="003053B4" w:rsidP="00632206">
      <w:pPr>
        <w:rPr>
          <w:rFonts w:eastAsia="Times New Roman" w:cs="Arial"/>
          <w:b/>
          <w:color w:val="000000"/>
          <w:lang w:eastAsia="en-GB"/>
        </w:rPr>
      </w:pPr>
      <w:r w:rsidRPr="00786833">
        <w:rPr>
          <w:rFonts w:eastAsia="Times New Roman" w:cs="Arial"/>
          <w:b/>
          <w:color w:val="000000"/>
          <w:lang w:eastAsia="en-GB"/>
        </w:rPr>
        <w:t>Q5: What can we do to maximise these benefits (given the considerations set out in paragraphs 3.12 to 3.17)? </w:t>
      </w:r>
    </w:p>
    <w:p w:rsidR="00044616" w:rsidRPr="00044616" w:rsidRDefault="00044616" w:rsidP="00632206">
      <w:pPr>
        <w:rPr>
          <w:rFonts w:eastAsia="Times New Roman" w:cs="Times New Roman"/>
          <w:lang w:eastAsia="en-GB"/>
        </w:rPr>
      </w:pPr>
      <w:r>
        <w:rPr>
          <w:rFonts w:eastAsia="Times New Roman" w:cs="Arial"/>
          <w:color w:val="000000"/>
          <w:lang w:eastAsia="en-GB"/>
        </w:rPr>
        <w:t xml:space="preserve">See previous response on promotion </w:t>
      </w:r>
      <w:r w:rsidR="00854846">
        <w:rPr>
          <w:rFonts w:eastAsia="Times New Roman" w:cs="Arial"/>
          <w:color w:val="000000"/>
          <w:lang w:eastAsia="en-GB"/>
        </w:rPr>
        <w:t>of Digital ID&amp;V</w:t>
      </w:r>
      <w:r>
        <w:rPr>
          <w:rFonts w:eastAsia="Times New Roman" w:cs="Arial"/>
          <w:color w:val="000000"/>
          <w:lang w:eastAsia="en-GB"/>
        </w:rPr>
        <w:t>.</w:t>
      </w:r>
    </w:p>
    <w:p w:rsidR="003053B4" w:rsidRPr="00786833" w:rsidRDefault="003053B4" w:rsidP="00632206">
      <w:pPr>
        <w:rPr>
          <w:rFonts w:eastAsia="Times New Roman" w:cs="Times New Roman"/>
          <w:b/>
          <w:lang w:eastAsia="en-GB"/>
        </w:rPr>
      </w:pPr>
      <w:r w:rsidRPr="00786833">
        <w:rPr>
          <w:rFonts w:eastAsia="Times New Roman" w:cs="Arial"/>
          <w:b/>
          <w:color w:val="000000"/>
          <w:lang w:eastAsia="en-GB"/>
        </w:rPr>
        <w:t>Q6: Is there a natural sequence by which open finance would or should develop by sector? </w:t>
      </w:r>
    </w:p>
    <w:p w:rsidR="003053B4" w:rsidRPr="00632206" w:rsidRDefault="00C55841" w:rsidP="00632206">
      <w:pPr>
        <w:rPr>
          <w:rFonts w:eastAsia="Times New Roman" w:cs="Times New Roman"/>
          <w:lang w:eastAsia="en-GB"/>
        </w:rPr>
      </w:pPr>
      <w:r>
        <w:rPr>
          <w:rFonts w:eastAsia="Times New Roman" w:cs="Times New Roman"/>
          <w:lang w:eastAsia="en-GB"/>
        </w:rPr>
        <w:t xml:space="preserve">We have no comment. </w:t>
      </w:r>
    </w:p>
    <w:p w:rsidR="003053B4" w:rsidRPr="00030201" w:rsidRDefault="003053B4" w:rsidP="00632206">
      <w:pPr>
        <w:rPr>
          <w:rFonts w:eastAsia="Times New Roman" w:cs="Times New Roman"/>
          <w:b/>
          <w:lang w:eastAsia="en-GB"/>
        </w:rPr>
      </w:pPr>
      <w:r w:rsidRPr="00030201">
        <w:rPr>
          <w:rFonts w:eastAsia="Times New Roman" w:cs="Arial"/>
          <w:b/>
          <w:color w:val="000000"/>
          <w:lang w:eastAsia="en-GB"/>
        </w:rPr>
        <w:t>Q7: Do you agree with our assessment of the potential risks arising from open finance? Are there others? </w:t>
      </w:r>
    </w:p>
    <w:p w:rsidR="003053B4" w:rsidRDefault="00030201" w:rsidP="00632206">
      <w:pPr>
        <w:rPr>
          <w:rFonts w:eastAsia="Times New Roman" w:cs="Times New Roman"/>
          <w:lang w:eastAsia="en-GB"/>
        </w:rPr>
      </w:pPr>
      <w:r>
        <w:rPr>
          <w:rFonts w:eastAsia="Times New Roman" w:cs="Times New Roman"/>
          <w:lang w:eastAsia="en-GB"/>
        </w:rPr>
        <w:t>We agree with the potential risks listed. There is an additional competition risk to incumbent firms from focusing purely on price at the exclusion of other benefits such as membership and community engagement. This type of disintermediation has not materialised yet under Open Banking but it remains a potential</w:t>
      </w:r>
      <w:r w:rsidR="006C162F">
        <w:rPr>
          <w:rFonts w:eastAsia="Times New Roman" w:cs="Times New Roman"/>
          <w:lang w:eastAsia="en-GB"/>
        </w:rPr>
        <w:t xml:space="preserve"> competition</w:t>
      </w:r>
      <w:r>
        <w:rPr>
          <w:rFonts w:eastAsia="Times New Roman" w:cs="Times New Roman"/>
          <w:lang w:eastAsia="en-GB"/>
        </w:rPr>
        <w:t xml:space="preserve"> risk.    </w:t>
      </w:r>
    </w:p>
    <w:p w:rsidR="00C55841" w:rsidRDefault="00C55841" w:rsidP="00632206">
      <w:r>
        <w:t>Given the majority of building societies and credit unions have a high street presence and are deeply connected with their local communities, there are also concerns about the impact any disintermediation could have on customers who do not want to operate their finances digitally.</w:t>
      </w:r>
    </w:p>
    <w:p w:rsidR="00044616" w:rsidRPr="00786AC9" w:rsidRDefault="00044616" w:rsidP="00632206">
      <w:r>
        <w:t xml:space="preserve">Likewise, forcing all firms to open their data will have a financial and regulatory cost as well. Many building societies operate savings products with a nominated account. This has meant they do not have to adhere to all of the rules around PSD2, in particular open access to data.  </w:t>
      </w:r>
    </w:p>
    <w:p w:rsidR="003053B4" w:rsidRPr="005F1644" w:rsidRDefault="003053B4" w:rsidP="00632206">
      <w:pPr>
        <w:rPr>
          <w:rFonts w:eastAsia="Times New Roman" w:cs="Times New Roman"/>
          <w:b/>
          <w:lang w:eastAsia="en-GB"/>
        </w:rPr>
      </w:pPr>
      <w:r w:rsidRPr="005F1644">
        <w:rPr>
          <w:rFonts w:eastAsia="Times New Roman" w:cs="Arial"/>
          <w:b/>
          <w:color w:val="000000"/>
          <w:lang w:eastAsia="en-GB"/>
        </w:rPr>
        <w:t>Q8: Do you consider that the current regulatory framework would be adequate to capture these risks? </w:t>
      </w:r>
    </w:p>
    <w:p w:rsidR="003053B4" w:rsidRPr="00632206" w:rsidRDefault="00030201" w:rsidP="00632206">
      <w:pPr>
        <w:rPr>
          <w:rFonts w:eastAsia="Times New Roman" w:cs="Times New Roman"/>
          <w:lang w:eastAsia="en-GB"/>
        </w:rPr>
      </w:pPr>
      <w:r>
        <w:rPr>
          <w:rFonts w:eastAsia="Times New Roman" w:cs="Times New Roman"/>
          <w:lang w:eastAsia="en-GB"/>
        </w:rPr>
        <w:t xml:space="preserve">In terms of misuse of data and operational risks, regulators continue to expand provisions within firms to manage new scenarios. However, </w:t>
      </w:r>
      <w:r w:rsidR="005F1644">
        <w:rPr>
          <w:rFonts w:eastAsia="Times New Roman" w:cs="Times New Roman"/>
          <w:lang w:eastAsia="en-GB"/>
        </w:rPr>
        <w:t>Open Finance is ultimately a measure to shake up the status quo and exclusion, poor consumer outcomes and negative competition could all result from the</w:t>
      </w:r>
      <w:r w:rsidR="006C162F">
        <w:rPr>
          <w:rFonts w:eastAsia="Times New Roman" w:cs="Times New Roman"/>
          <w:lang w:eastAsia="en-GB"/>
        </w:rPr>
        <w:t xml:space="preserve"> very</w:t>
      </w:r>
      <w:r w:rsidR="005F1644">
        <w:rPr>
          <w:rFonts w:eastAsia="Times New Roman" w:cs="Times New Roman"/>
          <w:lang w:eastAsia="en-GB"/>
        </w:rPr>
        <w:t xml:space="preserve"> innovation </w:t>
      </w:r>
      <w:r w:rsidR="006C162F">
        <w:rPr>
          <w:rFonts w:eastAsia="Times New Roman" w:cs="Times New Roman"/>
          <w:lang w:eastAsia="en-GB"/>
        </w:rPr>
        <w:t>the FCA is looking to promote</w:t>
      </w:r>
      <w:r w:rsidR="005F1644">
        <w:rPr>
          <w:rFonts w:eastAsia="Times New Roman" w:cs="Times New Roman"/>
          <w:lang w:eastAsia="en-GB"/>
        </w:rPr>
        <w:t xml:space="preserve">. </w:t>
      </w:r>
    </w:p>
    <w:p w:rsidR="003053B4" w:rsidRPr="005F1644" w:rsidRDefault="003053B4" w:rsidP="00632206">
      <w:pPr>
        <w:rPr>
          <w:rFonts w:eastAsia="Times New Roman" w:cs="Times New Roman"/>
          <w:b/>
          <w:lang w:eastAsia="en-GB"/>
        </w:rPr>
      </w:pPr>
      <w:r w:rsidRPr="005F1644">
        <w:rPr>
          <w:rFonts w:eastAsia="Times New Roman" w:cs="Arial"/>
          <w:b/>
          <w:color w:val="000000"/>
          <w:lang w:eastAsia="en-GB"/>
        </w:rPr>
        <w:t>Q9: What barriers do established firms face in providing access to customer data and what barriers do TPPs face in accessing that data today? </w:t>
      </w:r>
    </w:p>
    <w:p w:rsidR="00F12B62" w:rsidRDefault="00F12B62" w:rsidP="00632206">
      <w:pPr>
        <w:rPr>
          <w:rFonts w:eastAsia="Times New Roman" w:cs="Times New Roman"/>
          <w:lang w:eastAsia="en-GB"/>
        </w:rPr>
      </w:pPr>
      <w:r>
        <w:rPr>
          <w:rFonts w:eastAsia="Times New Roman" w:cs="Times New Roman"/>
          <w:lang w:eastAsia="en-GB"/>
        </w:rPr>
        <w:lastRenderedPageBreak/>
        <w:t xml:space="preserve">Members have provided us with examples of </w:t>
      </w:r>
      <w:r w:rsidR="005F1644">
        <w:rPr>
          <w:rFonts w:eastAsia="Times New Roman" w:cs="Times New Roman"/>
          <w:lang w:eastAsia="en-GB"/>
        </w:rPr>
        <w:t>a lack of data interoperability between</w:t>
      </w:r>
      <w:r>
        <w:rPr>
          <w:rFonts w:eastAsia="Times New Roman" w:cs="Times New Roman"/>
          <w:lang w:eastAsia="en-GB"/>
        </w:rPr>
        <w:t xml:space="preserve"> the IT</w:t>
      </w:r>
      <w:r w:rsidR="005F1644">
        <w:rPr>
          <w:rFonts w:eastAsia="Times New Roman" w:cs="Times New Roman"/>
          <w:lang w:eastAsia="en-GB"/>
        </w:rPr>
        <w:t xml:space="preserve"> system providers</w:t>
      </w:r>
      <w:r>
        <w:rPr>
          <w:rFonts w:eastAsia="Times New Roman" w:cs="Times New Roman"/>
          <w:lang w:eastAsia="en-GB"/>
        </w:rPr>
        <w:t xml:space="preserve"> that they use. There appears to be no requirement for IT providers to facilitate the free flow of data between systems. This also will be a barrier to TPPs. </w:t>
      </w:r>
    </w:p>
    <w:p w:rsidR="00F923E0" w:rsidRDefault="00705947" w:rsidP="00632206">
      <w:pPr>
        <w:rPr>
          <w:rFonts w:eastAsia="Times New Roman" w:cs="Times New Roman"/>
          <w:lang w:eastAsia="en-GB"/>
        </w:rPr>
      </w:pPr>
      <w:r>
        <w:rPr>
          <w:rFonts w:eastAsia="Times New Roman" w:cs="Times New Roman"/>
          <w:lang w:eastAsia="en-GB"/>
        </w:rPr>
        <w:t xml:space="preserve">However, one IT provider has also made the point that any standards would need to be </w:t>
      </w:r>
      <w:r w:rsidR="00CD3C2E">
        <w:rPr>
          <w:rFonts w:eastAsia="Times New Roman" w:cs="Times New Roman"/>
          <w:lang w:eastAsia="en-GB"/>
        </w:rPr>
        <w:t>set at an industry level and that without s</w:t>
      </w:r>
      <w:r w:rsidR="00DB0D6E">
        <w:rPr>
          <w:rFonts w:eastAsia="Times New Roman" w:cs="Times New Roman"/>
          <w:lang w:eastAsia="en-GB"/>
        </w:rPr>
        <w:t>tandardisation across the board, from regulators to Government,</w:t>
      </w:r>
      <w:r w:rsidR="00CD3C2E">
        <w:rPr>
          <w:rFonts w:eastAsia="Times New Roman" w:cs="Times New Roman"/>
          <w:lang w:eastAsia="en-GB"/>
        </w:rPr>
        <w:t xml:space="preserve"> there could be inconsistencies. </w:t>
      </w:r>
    </w:p>
    <w:p w:rsidR="003053B4" w:rsidRPr="00396495" w:rsidRDefault="003053B4" w:rsidP="00632206">
      <w:pPr>
        <w:rPr>
          <w:rFonts w:eastAsia="Times New Roman" w:cs="Times New Roman"/>
          <w:b/>
          <w:lang w:eastAsia="en-GB"/>
        </w:rPr>
      </w:pPr>
      <w:r w:rsidRPr="00396495">
        <w:rPr>
          <w:rFonts w:eastAsia="Times New Roman" w:cs="Arial"/>
          <w:b/>
          <w:color w:val="000000"/>
          <w:lang w:eastAsia="en-GB"/>
        </w:rPr>
        <w:t>Q10: Do you think the right incentives exist for open finance to develop, or would FCA rules, or any other changes be necessary? </w:t>
      </w:r>
    </w:p>
    <w:p w:rsidR="003053B4" w:rsidRPr="00632206" w:rsidRDefault="00C67447" w:rsidP="00632206">
      <w:pPr>
        <w:rPr>
          <w:rFonts w:eastAsia="Times New Roman" w:cs="Times New Roman"/>
          <w:lang w:eastAsia="en-GB"/>
        </w:rPr>
      </w:pPr>
      <w:r>
        <w:rPr>
          <w:rFonts w:eastAsia="Times New Roman" w:cs="Times New Roman"/>
          <w:lang w:eastAsia="en-GB"/>
        </w:rPr>
        <w:t xml:space="preserve">Yes. </w:t>
      </w:r>
      <w:r w:rsidR="00F42223">
        <w:rPr>
          <w:rFonts w:eastAsia="Times New Roman" w:cs="Times New Roman"/>
          <w:lang w:eastAsia="en-GB"/>
        </w:rPr>
        <w:t>Open Banking is relatively new in the market but the business case</w:t>
      </w:r>
      <w:r w:rsidR="00A87E9E">
        <w:rPr>
          <w:rFonts w:eastAsia="Times New Roman" w:cs="Times New Roman"/>
          <w:lang w:eastAsia="en-GB"/>
        </w:rPr>
        <w:t xml:space="preserve"> for </w:t>
      </w:r>
      <w:r w:rsidR="00781814">
        <w:rPr>
          <w:rFonts w:eastAsia="Times New Roman" w:cs="Times New Roman"/>
          <w:lang w:eastAsia="en-GB"/>
        </w:rPr>
        <w:t>utilising the technology in</w:t>
      </w:r>
      <w:r w:rsidR="00A87E9E">
        <w:rPr>
          <w:rFonts w:eastAsia="Times New Roman" w:cs="Times New Roman"/>
          <w:lang w:eastAsia="en-GB"/>
        </w:rPr>
        <w:t xml:space="preserve"> mortgages and savings</w:t>
      </w:r>
      <w:r w:rsidR="00740DD0">
        <w:rPr>
          <w:rFonts w:eastAsia="Times New Roman" w:cs="Times New Roman"/>
          <w:lang w:eastAsia="en-GB"/>
        </w:rPr>
        <w:t xml:space="preserve"> </w:t>
      </w:r>
      <w:r w:rsidR="00A87E9E">
        <w:rPr>
          <w:rFonts w:eastAsia="Times New Roman" w:cs="Times New Roman"/>
          <w:lang w:eastAsia="en-GB"/>
        </w:rPr>
        <w:t xml:space="preserve">is </w:t>
      </w:r>
      <w:r w:rsidR="00A15C21">
        <w:rPr>
          <w:rFonts w:eastAsia="Times New Roman" w:cs="Times New Roman"/>
          <w:lang w:eastAsia="en-GB"/>
        </w:rPr>
        <w:t xml:space="preserve">motivating firms to bring propositions to market. </w:t>
      </w:r>
      <w:r>
        <w:rPr>
          <w:rFonts w:eastAsia="Times New Roman" w:cs="Times New Roman"/>
          <w:lang w:eastAsia="en-GB"/>
        </w:rPr>
        <w:t xml:space="preserve">The incentives are primarily around competition and improving the customer experience. </w:t>
      </w:r>
    </w:p>
    <w:p w:rsidR="00640714" w:rsidRDefault="003053B4" w:rsidP="00632206">
      <w:pPr>
        <w:rPr>
          <w:rFonts w:eastAsia="Times New Roman" w:cs="Times New Roman"/>
          <w:b/>
          <w:lang w:eastAsia="en-GB"/>
        </w:rPr>
      </w:pPr>
      <w:r w:rsidRPr="00F23ABF">
        <w:rPr>
          <w:rFonts w:eastAsia="Times New Roman" w:cs="Arial"/>
          <w:b/>
          <w:color w:val="000000"/>
          <w:lang w:eastAsia="en-GB"/>
        </w:rPr>
        <w:t>Q11: Do you have views on the feasibility of different types of firms opening up access to customer data to third parties? </w:t>
      </w:r>
    </w:p>
    <w:p w:rsidR="003053B4" w:rsidRPr="00640714" w:rsidRDefault="00640714" w:rsidP="00632206">
      <w:pPr>
        <w:rPr>
          <w:rFonts w:eastAsia="Times New Roman" w:cs="Times New Roman"/>
          <w:b/>
          <w:lang w:eastAsia="en-GB"/>
        </w:rPr>
      </w:pPr>
      <w:r>
        <w:rPr>
          <w:rFonts w:eastAsia="Times New Roman" w:cs="Times New Roman"/>
          <w:lang w:eastAsia="en-GB"/>
        </w:rPr>
        <w:t xml:space="preserve">Members deploy a range of different and interconnecting IT vendors to provide digital services. These IT vendors are increasingly investing in their own systems to ensure greater access to their customers’ data in the future. </w:t>
      </w:r>
      <w:r w:rsidR="00F12B62">
        <w:rPr>
          <w:rFonts w:eastAsia="Times New Roman" w:cs="Times New Roman"/>
          <w:lang w:eastAsia="en-GB"/>
        </w:rPr>
        <w:t xml:space="preserve">However, the cost of developing APIs may still remain a barrier to </w:t>
      </w:r>
      <w:r w:rsidR="00786AC9">
        <w:rPr>
          <w:rFonts w:eastAsia="Times New Roman" w:cs="Times New Roman"/>
          <w:lang w:eastAsia="en-GB"/>
        </w:rPr>
        <w:t>some</w:t>
      </w:r>
      <w:r w:rsidR="00F12B62">
        <w:rPr>
          <w:rFonts w:eastAsia="Times New Roman" w:cs="Times New Roman"/>
          <w:lang w:eastAsia="en-GB"/>
        </w:rPr>
        <w:t xml:space="preserve"> firms. </w:t>
      </w:r>
    </w:p>
    <w:p w:rsidR="003053B4" w:rsidRPr="00396495" w:rsidRDefault="003053B4" w:rsidP="00632206">
      <w:pPr>
        <w:rPr>
          <w:rFonts w:eastAsia="Times New Roman" w:cs="Times New Roman"/>
          <w:b/>
          <w:lang w:eastAsia="en-GB"/>
        </w:rPr>
      </w:pPr>
      <w:r w:rsidRPr="00396495">
        <w:rPr>
          <w:rFonts w:eastAsia="Times New Roman" w:cs="Arial"/>
          <w:b/>
          <w:color w:val="000000"/>
          <w:lang w:eastAsia="en-GB"/>
        </w:rPr>
        <w:t>Q12: What costs would be involved in doing so? We are interested in views on the desirability and feasibility of developing APIs? </w:t>
      </w:r>
    </w:p>
    <w:p w:rsidR="003053B4" w:rsidRPr="00632206" w:rsidRDefault="00396495" w:rsidP="00632206">
      <w:pPr>
        <w:rPr>
          <w:rFonts w:eastAsia="Times New Roman" w:cs="Times New Roman"/>
          <w:lang w:eastAsia="en-GB"/>
        </w:rPr>
      </w:pPr>
      <w:r>
        <w:rPr>
          <w:rFonts w:eastAsia="Times New Roman" w:cs="Times New Roman"/>
          <w:lang w:eastAsia="en-GB"/>
        </w:rPr>
        <w:t>We have had no specific feedback on this. Firms and their technology partners are actively investing in APIs and systems and services are continuing to evolve across the sector.</w:t>
      </w:r>
      <w:r w:rsidR="00786AC9">
        <w:rPr>
          <w:rFonts w:eastAsia="Times New Roman" w:cs="Times New Roman"/>
          <w:lang w:eastAsia="en-GB"/>
        </w:rPr>
        <w:t xml:space="preserve"> </w:t>
      </w:r>
      <w:r w:rsidR="00AA3222">
        <w:rPr>
          <w:rFonts w:eastAsia="Times New Roman" w:cs="Times New Roman"/>
          <w:lang w:eastAsia="en-GB"/>
        </w:rPr>
        <w:t>M</w:t>
      </w:r>
      <w:r w:rsidR="00786AC9">
        <w:rPr>
          <w:rFonts w:eastAsia="Times New Roman" w:cs="Times New Roman"/>
          <w:lang w:eastAsia="en-GB"/>
        </w:rPr>
        <w:t xml:space="preserve">embers are reliant on IT partners developing APIs to third parties. </w:t>
      </w:r>
      <w:r>
        <w:rPr>
          <w:rFonts w:eastAsia="Times New Roman" w:cs="Times New Roman"/>
          <w:lang w:eastAsia="en-GB"/>
        </w:rPr>
        <w:t xml:space="preserve"> </w:t>
      </w:r>
    </w:p>
    <w:p w:rsidR="003053B4" w:rsidRPr="00396495" w:rsidRDefault="003053B4" w:rsidP="00632206">
      <w:pPr>
        <w:rPr>
          <w:rFonts w:eastAsia="Times New Roman" w:cs="Times New Roman"/>
          <w:b/>
          <w:lang w:eastAsia="en-GB"/>
        </w:rPr>
      </w:pPr>
      <w:r w:rsidRPr="00396495">
        <w:rPr>
          <w:rFonts w:eastAsia="Times New Roman" w:cs="Arial"/>
          <w:b/>
          <w:color w:val="000000"/>
          <w:lang w:eastAsia="en-GB"/>
        </w:rPr>
        <w:t>Q13: Do you have views on how the market may develop if some but not all firms opened up to third party access? </w:t>
      </w:r>
    </w:p>
    <w:p w:rsidR="003053B4" w:rsidRPr="00632206" w:rsidRDefault="00396495" w:rsidP="00632206">
      <w:pPr>
        <w:rPr>
          <w:rFonts w:eastAsia="Times New Roman" w:cs="Times New Roman"/>
          <w:lang w:eastAsia="en-GB"/>
        </w:rPr>
      </w:pPr>
      <w:r>
        <w:rPr>
          <w:rFonts w:eastAsia="Times New Roman" w:cs="Times New Roman"/>
          <w:lang w:eastAsia="en-GB"/>
        </w:rPr>
        <w:t>Given the high competition in specific product areas like the mortgage market, if</w:t>
      </w:r>
      <w:r w:rsidR="00F23ABF">
        <w:rPr>
          <w:rFonts w:eastAsia="Times New Roman" w:cs="Times New Roman"/>
          <w:lang w:eastAsia="en-GB"/>
        </w:rPr>
        <w:t xml:space="preserve"> the</w:t>
      </w:r>
      <w:r>
        <w:rPr>
          <w:rFonts w:eastAsia="Times New Roman" w:cs="Times New Roman"/>
          <w:lang w:eastAsia="en-GB"/>
        </w:rPr>
        <w:t xml:space="preserve"> </w:t>
      </w:r>
      <w:r w:rsidR="00F23ABF">
        <w:rPr>
          <w:rFonts w:eastAsia="Times New Roman" w:cs="Times New Roman"/>
          <w:lang w:eastAsia="en-GB"/>
        </w:rPr>
        <w:t xml:space="preserve">opening up of </w:t>
      </w:r>
      <w:r>
        <w:rPr>
          <w:rFonts w:eastAsia="Times New Roman" w:cs="Times New Roman"/>
          <w:lang w:eastAsia="en-GB"/>
        </w:rPr>
        <w:t>specific data</w:t>
      </w:r>
      <w:r w:rsidR="00F23ABF">
        <w:rPr>
          <w:rFonts w:eastAsia="Times New Roman" w:cs="Times New Roman"/>
          <w:lang w:eastAsia="en-GB"/>
        </w:rPr>
        <w:t xml:space="preserve"> to third parties had a tangible impact on business volumes, this would naturally compel firms to open up their data.   </w:t>
      </w:r>
    </w:p>
    <w:p w:rsidR="003053B4" w:rsidRPr="00F23ABF" w:rsidRDefault="003053B4" w:rsidP="00632206">
      <w:pPr>
        <w:rPr>
          <w:rFonts w:eastAsia="Times New Roman" w:cs="Times New Roman"/>
          <w:b/>
          <w:lang w:eastAsia="en-GB"/>
        </w:rPr>
      </w:pPr>
      <w:r w:rsidRPr="00F23ABF">
        <w:rPr>
          <w:rFonts w:eastAsia="Times New Roman" w:cs="Arial"/>
          <w:b/>
          <w:color w:val="000000"/>
          <w:lang w:eastAsia="en-GB"/>
        </w:rPr>
        <w:t>Q14: What functions and common standards are needed to support open finance? How should they be delivered? </w:t>
      </w:r>
    </w:p>
    <w:p w:rsidR="003053B4" w:rsidRPr="00632206" w:rsidRDefault="00640714" w:rsidP="00632206">
      <w:pPr>
        <w:rPr>
          <w:rFonts w:eastAsia="Times New Roman" w:cs="Times New Roman"/>
          <w:lang w:eastAsia="en-GB"/>
        </w:rPr>
      </w:pPr>
      <w:r>
        <w:rPr>
          <w:rFonts w:eastAsia="Times New Roman" w:cs="Times New Roman"/>
          <w:lang w:eastAsia="en-GB"/>
        </w:rPr>
        <w:t>A</w:t>
      </w:r>
      <w:r w:rsidR="00390918">
        <w:rPr>
          <w:rFonts w:eastAsia="Times New Roman" w:cs="Times New Roman"/>
          <w:lang w:eastAsia="en-GB"/>
        </w:rPr>
        <w:t>s mentioned previously, a</w:t>
      </w:r>
      <w:r>
        <w:rPr>
          <w:rFonts w:eastAsia="Times New Roman" w:cs="Times New Roman"/>
          <w:lang w:eastAsia="en-GB"/>
        </w:rPr>
        <w:t xml:space="preserve"> viable digital ID</w:t>
      </w:r>
      <w:r w:rsidR="00AA3222">
        <w:rPr>
          <w:rFonts w:eastAsia="Times New Roman" w:cs="Times New Roman"/>
          <w:lang w:eastAsia="en-GB"/>
        </w:rPr>
        <w:t>&amp;V</w:t>
      </w:r>
      <w:r>
        <w:rPr>
          <w:rFonts w:eastAsia="Times New Roman" w:cs="Times New Roman"/>
          <w:lang w:eastAsia="en-GB"/>
        </w:rPr>
        <w:t xml:space="preserve"> solution is </w:t>
      </w:r>
      <w:r w:rsidR="00390918">
        <w:rPr>
          <w:rFonts w:eastAsia="Times New Roman" w:cs="Times New Roman"/>
          <w:lang w:eastAsia="en-GB"/>
        </w:rPr>
        <w:t xml:space="preserve">essential to the development of open data and solutions that utilise it. </w:t>
      </w:r>
      <w:r>
        <w:rPr>
          <w:rFonts w:eastAsia="Times New Roman" w:cs="Times New Roman"/>
          <w:lang w:eastAsia="en-GB"/>
        </w:rPr>
        <w:t xml:space="preserve"> </w:t>
      </w:r>
      <w:r w:rsidR="00F23ABF">
        <w:rPr>
          <w:rFonts w:eastAsia="Times New Roman" w:cs="Times New Roman"/>
          <w:lang w:eastAsia="en-GB"/>
        </w:rPr>
        <w:t xml:space="preserve"> </w:t>
      </w:r>
    </w:p>
    <w:p w:rsidR="003053B4" w:rsidRPr="00F23ABF" w:rsidRDefault="003053B4" w:rsidP="00632206">
      <w:pPr>
        <w:rPr>
          <w:rFonts w:eastAsia="Times New Roman" w:cs="Times New Roman"/>
          <w:b/>
          <w:lang w:eastAsia="en-GB"/>
        </w:rPr>
      </w:pPr>
      <w:r w:rsidRPr="00F23ABF">
        <w:rPr>
          <w:rFonts w:eastAsia="Times New Roman" w:cs="Arial"/>
          <w:b/>
          <w:color w:val="000000"/>
          <w:lang w:eastAsia="en-GB"/>
        </w:rPr>
        <w:t>Q15: What role could BEIS’ Smart Data Function best play to ensure interoperability and cohesion? </w:t>
      </w:r>
    </w:p>
    <w:p w:rsidR="003053B4" w:rsidRPr="00632206" w:rsidRDefault="00F23ABF" w:rsidP="00632206">
      <w:pPr>
        <w:rPr>
          <w:rFonts w:eastAsia="Times New Roman" w:cs="Times New Roman"/>
          <w:lang w:eastAsia="en-GB"/>
        </w:rPr>
      </w:pPr>
      <w:r>
        <w:rPr>
          <w:rFonts w:eastAsia="Times New Roman" w:cs="Times New Roman"/>
          <w:lang w:eastAsia="en-GB"/>
        </w:rPr>
        <w:t xml:space="preserve">Creating standards across industries has been well received by members, likewise as a means of leveraging the cost of setting up infrastructure. </w:t>
      </w:r>
      <w:r w:rsidR="000D6BFA">
        <w:rPr>
          <w:rFonts w:eastAsia="Times New Roman" w:cs="Times New Roman"/>
          <w:lang w:eastAsia="en-GB"/>
        </w:rPr>
        <w:t xml:space="preserve">Another suggestion was to look at other sectors that have set up </w:t>
      </w:r>
      <w:r w:rsidR="00A539ED">
        <w:rPr>
          <w:rFonts w:eastAsia="Times New Roman" w:cs="Times New Roman"/>
          <w:lang w:eastAsia="en-GB"/>
        </w:rPr>
        <w:t xml:space="preserve">standards </w:t>
      </w:r>
      <w:r w:rsidR="00281352">
        <w:rPr>
          <w:rFonts w:eastAsia="Times New Roman" w:cs="Times New Roman"/>
          <w:lang w:eastAsia="en-GB"/>
        </w:rPr>
        <w:t xml:space="preserve">such as the Water Utilities sectors with the </w:t>
      </w:r>
      <w:hyperlink r:id="rId9" w:history="1">
        <w:r w:rsidR="00281352" w:rsidRPr="003D43EA">
          <w:rPr>
            <w:rStyle w:val="Hyperlink"/>
            <w:rFonts w:eastAsia="Times New Roman" w:cs="Times New Roman"/>
            <w:lang w:eastAsia="en-GB"/>
          </w:rPr>
          <w:t>Worldwide Industry Telemetry Standards</w:t>
        </w:r>
      </w:hyperlink>
      <w:r w:rsidR="003D43EA">
        <w:rPr>
          <w:rFonts w:eastAsia="Times New Roman" w:cs="Times New Roman"/>
          <w:lang w:eastAsia="en-GB"/>
        </w:rPr>
        <w:t xml:space="preserve"> or to plug into existing global standards, which would reduce cost where vendors </w:t>
      </w:r>
      <w:r w:rsidR="00510A7E">
        <w:rPr>
          <w:rFonts w:eastAsia="Times New Roman" w:cs="Times New Roman"/>
          <w:lang w:eastAsia="en-GB"/>
        </w:rPr>
        <w:t xml:space="preserve">provide software in different countries. </w:t>
      </w:r>
    </w:p>
    <w:p w:rsidR="003053B4" w:rsidRPr="00F23ABF" w:rsidRDefault="003053B4" w:rsidP="00632206">
      <w:pPr>
        <w:rPr>
          <w:rFonts w:eastAsia="Times New Roman" w:cs="Times New Roman"/>
          <w:b/>
          <w:lang w:eastAsia="en-GB"/>
        </w:rPr>
      </w:pPr>
      <w:r w:rsidRPr="00F23ABF">
        <w:rPr>
          <w:rFonts w:eastAsia="Times New Roman" w:cs="Arial"/>
          <w:b/>
          <w:color w:val="000000"/>
          <w:lang w:eastAsia="en-GB"/>
        </w:rPr>
        <w:t>Q16: To what extent should the standards and infrastructure developed by the OBIE be leveraged to support open finance? </w:t>
      </w:r>
    </w:p>
    <w:p w:rsidR="003053B4" w:rsidRPr="00632206" w:rsidRDefault="00390918" w:rsidP="00632206">
      <w:pPr>
        <w:rPr>
          <w:rFonts w:eastAsia="Times New Roman" w:cs="Times New Roman"/>
          <w:lang w:eastAsia="en-GB"/>
        </w:rPr>
      </w:pPr>
      <w:r>
        <w:rPr>
          <w:rFonts w:eastAsia="Times New Roman" w:cs="Times New Roman"/>
          <w:lang w:eastAsia="en-GB"/>
        </w:rPr>
        <w:t xml:space="preserve">The setting of common standards seems a logical next step. </w:t>
      </w:r>
      <w:r w:rsidR="00AA3222">
        <w:rPr>
          <w:rFonts w:eastAsia="Times New Roman" w:cs="Times New Roman"/>
          <w:lang w:eastAsia="en-GB"/>
        </w:rPr>
        <w:t>As mentioned previously,</w:t>
      </w:r>
      <w:r w:rsidR="00F23ABF">
        <w:rPr>
          <w:rFonts w:eastAsia="Times New Roman" w:cs="Times New Roman"/>
          <w:lang w:eastAsia="en-GB"/>
        </w:rPr>
        <w:t xml:space="preserve"> there is a concern that</w:t>
      </w:r>
      <w:r w:rsidR="00FE5F7A">
        <w:rPr>
          <w:rFonts w:eastAsia="Times New Roman" w:cs="Times New Roman"/>
          <w:lang w:eastAsia="en-GB"/>
        </w:rPr>
        <w:t xml:space="preserve"> Open Finance</w:t>
      </w:r>
      <w:r w:rsidR="00F23ABF">
        <w:rPr>
          <w:rFonts w:eastAsia="Times New Roman" w:cs="Times New Roman"/>
          <w:lang w:eastAsia="en-GB"/>
        </w:rPr>
        <w:t xml:space="preserve"> would encourage standards and costs to be solely focused within the financial services rather than across industries.  </w:t>
      </w:r>
    </w:p>
    <w:p w:rsidR="003053B4" w:rsidRPr="00F23ABF" w:rsidRDefault="003053B4" w:rsidP="00632206">
      <w:pPr>
        <w:rPr>
          <w:rFonts w:eastAsia="Times New Roman" w:cs="Times New Roman"/>
          <w:b/>
          <w:lang w:eastAsia="en-GB"/>
        </w:rPr>
      </w:pPr>
      <w:r w:rsidRPr="00F23ABF">
        <w:rPr>
          <w:rFonts w:eastAsia="Times New Roman" w:cs="Arial"/>
          <w:b/>
          <w:color w:val="000000"/>
          <w:lang w:eastAsia="en-GB"/>
        </w:rPr>
        <w:t>Q17: Do you agree that GDPR alone may not provide a sufficient framework for the development of open finance? </w:t>
      </w:r>
    </w:p>
    <w:p w:rsidR="003053B4" w:rsidRPr="00632206" w:rsidRDefault="00FE5F7A" w:rsidP="00632206">
      <w:pPr>
        <w:rPr>
          <w:rFonts w:eastAsia="Times New Roman" w:cs="Times New Roman"/>
          <w:lang w:eastAsia="en-GB"/>
        </w:rPr>
      </w:pPr>
      <w:r>
        <w:rPr>
          <w:rFonts w:eastAsia="Times New Roman" w:cs="Times New Roman"/>
          <w:lang w:eastAsia="en-GB"/>
        </w:rPr>
        <w:lastRenderedPageBreak/>
        <w:t>We have h</w:t>
      </w:r>
      <w:r w:rsidR="00510A7E">
        <w:rPr>
          <w:rFonts w:eastAsia="Times New Roman" w:cs="Times New Roman"/>
          <w:lang w:eastAsia="en-GB"/>
        </w:rPr>
        <w:t xml:space="preserve">ad no specific feedback on this from our members. However, one of the IT providers to the sector </w:t>
      </w:r>
      <w:r w:rsidR="000A1251">
        <w:rPr>
          <w:rFonts w:eastAsia="Times New Roman" w:cs="Times New Roman"/>
          <w:lang w:eastAsia="en-GB"/>
        </w:rPr>
        <w:t xml:space="preserve">mentioned the difficulty of tracking data where there is open access and how third parties are protecting and passing on data. </w:t>
      </w:r>
      <w:r w:rsidR="0009645C">
        <w:rPr>
          <w:rFonts w:eastAsia="Times New Roman" w:cs="Times New Roman"/>
          <w:lang w:eastAsia="en-GB"/>
        </w:rPr>
        <w:t>_</w:t>
      </w:r>
      <w:bookmarkStart w:id="1" w:name="_GoBack"/>
      <w:bookmarkEnd w:id="1"/>
    </w:p>
    <w:p w:rsidR="003053B4" w:rsidRPr="00F23ABF" w:rsidRDefault="003053B4" w:rsidP="00632206">
      <w:pPr>
        <w:rPr>
          <w:rFonts w:eastAsia="Times New Roman" w:cs="Times New Roman"/>
          <w:b/>
          <w:lang w:eastAsia="en-GB"/>
        </w:rPr>
      </w:pPr>
      <w:r w:rsidRPr="00F23ABF">
        <w:rPr>
          <w:rFonts w:eastAsia="Times New Roman" w:cs="Arial"/>
          <w:b/>
          <w:color w:val="000000"/>
          <w:lang w:eastAsia="en-GB"/>
        </w:rPr>
        <w:t>Q18: If so, what other rights and protections are needed? Is the open banking framework the right starting point? </w:t>
      </w:r>
    </w:p>
    <w:p w:rsidR="003053B4" w:rsidRPr="00632206" w:rsidRDefault="00640714" w:rsidP="00632206">
      <w:pPr>
        <w:rPr>
          <w:rFonts w:eastAsia="Times New Roman" w:cs="Times New Roman"/>
          <w:lang w:eastAsia="en-GB"/>
        </w:rPr>
      </w:pPr>
      <w:r>
        <w:rPr>
          <w:rFonts w:eastAsia="Times New Roman" w:cs="Times New Roman"/>
          <w:lang w:eastAsia="en-GB"/>
        </w:rPr>
        <w:t xml:space="preserve">We have had no specific feedback on this. </w:t>
      </w:r>
    </w:p>
    <w:p w:rsidR="003053B4" w:rsidRPr="00F23ABF" w:rsidRDefault="003053B4" w:rsidP="00632206">
      <w:pPr>
        <w:rPr>
          <w:rFonts w:eastAsia="Times New Roman" w:cs="Times New Roman"/>
          <w:b/>
          <w:lang w:eastAsia="en-GB"/>
        </w:rPr>
      </w:pPr>
      <w:r w:rsidRPr="00F23ABF">
        <w:rPr>
          <w:rFonts w:eastAsia="Times New Roman" w:cs="Arial"/>
          <w:b/>
          <w:color w:val="000000"/>
          <w:lang w:eastAsia="en-GB"/>
        </w:rPr>
        <w:t>Q19: What are the specific ethical issues we need to consider as part of open finance? </w:t>
      </w:r>
    </w:p>
    <w:p w:rsidR="003053B4" w:rsidRPr="00632206" w:rsidRDefault="001E77A4" w:rsidP="00632206">
      <w:pPr>
        <w:rPr>
          <w:rFonts w:eastAsia="Times New Roman" w:cs="Times New Roman"/>
          <w:lang w:eastAsia="en-GB"/>
        </w:rPr>
      </w:pPr>
      <w:r>
        <w:rPr>
          <w:rFonts w:eastAsia="Times New Roman" w:cs="Times New Roman"/>
          <w:lang w:eastAsia="en-GB"/>
        </w:rPr>
        <w:t xml:space="preserve">We have nothing to add to the areas identified. </w:t>
      </w:r>
    </w:p>
    <w:p w:rsidR="003053B4" w:rsidRPr="00F23ABF" w:rsidRDefault="003053B4" w:rsidP="00632206">
      <w:pPr>
        <w:rPr>
          <w:rFonts w:eastAsia="Times New Roman" w:cs="Times New Roman"/>
          <w:b/>
          <w:lang w:eastAsia="en-GB"/>
        </w:rPr>
      </w:pPr>
      <w:r w:rsidRPr="00F23ABF">
        <w:rPr>
          <w:rFonts w:eastAsia="Times New Roman" w:cs="Arial"/>
          <w:b/>
          <w:color w:val="000000"/>
          <w:lang w:eastAsia="en-GB"/>
        </w:rPr>
        <w:t>Q20: Do you have views on whether the draft principles for open finance will achieve our aim of an effective and interoperable ecosystem? </w:t>
      </w:r>
    </w:p>
    <w:p w:rsidR="003053B4" w:rsidRPr="00632206" w:rsidRDefault="00513991" w:rsidP="00632206">
      <w:pPr>
        <w:rPr>
          <w:rFonts w:eastAsia="Times New Roman" w:cs="Times New Roman"/>
          <w:lang w:eastAsia="en-GB"/>
        </w:rPr>
      </w:pPr>
      <w:r>
        <w:rPr>
          <w:rFonts w:eastAsia="Times New Roman" w:cs="Times New Roman"/>
          <w:lang w:eastAsia="en-GB"/>
        </w:rPr>
        <w:t xml:space="preserve">The general areas look fine but a specific </w:t>
      </w:r>
      <w:r w:rsidR="00AA3222">
        <w:rPr>
          <w:rFonts w:eastAsia="Times New Roman" w:cs="Times New Roman"/>
          <w:lang w:eastAsia="en-GB"/>
        </w:rPr>
        <w:t xml:space="preserve">comment </w:t>
      </w:r>
      <w:r>
        <w:rPr>
          <w:rFonts w:eastAsia="Times New Roman" w:cs="Times New Roman"/>
          <w:lang w:eastAsia="en-GB"/>
        </w:rPr>
        <w:t>has been made about a lack of r</w:t>
      </w:r>
      <w:r w:rsidR="001E77A4">
        <w:rPr>
          <w:rFonts w:eastAsia="Times New Roman" w:cs="Times New Roman"/>
          <w:lang w:eastAsia="en-GB"/>
        </w:rPr>
        <w:t>eciprocity of data between TP</w:t>
      </w:r>
      <w:r>
        <w:rPr>
          <w:rFonts w:eastAsia="Times New Roman" w:cs="Times New Roman"/>
          <w:lang w:eastAsia="en-GB"/>
        </w:rPr>
        <w:t xml:space="preserve">Ps and data holders. </w:t>
      </w:r>
      <w:r w:rsidR="001E77A4">
        <w:rPr>
          <w:rFonts w:eastAsia="Times New Roman" w:cs="Times New Roman"/>
          <w:lang w:eastAsia="en-GB"/>
        </w:rPr>
        <w:t xml:space="preserve"> </w:t>
      </w:r>
    </w:p>
    <w:p w:rsidR="003053B4" w:rsidRDefault="003053B4" w:rsidP="00632206">
      <w:pPr>
        <w:rPr>
          <w:rFonts w:eastAsia="Times New Roman" w:cs="Arial"/>
          <w:b/>
          <w:color w:val="000000"/>
          <w:lang w:eastAsia="en-GB"/>
        </w:rPr>
      </w:pPr>
      <w:r w:rsidRPr="00F23ABF">
        <w:rPr>
          <w:rFonts w:eastAsia="Times New Roman" w:cs="Arial"/>
          <w:b/>
          <w:color w:val="000000"/>
          <w:lang w:eastAsia="en-GB"/>
        </w:rPr>
        <w:t>Q21: How should these set of principles be developed? Do you have views on the role the FCA should play? </w:t>
      </w:r>
    </w:p>
    <w:p w:rsidR="003053B4" w:rsidRPr="00FE5F7A" w:rsidRDefault="00513991" w:rsidP="00632206">
      <w:pPr>
        <w:rPr>
          <w:rFonts w:eastAsia="Times New Roman" w:cs="Arial"/>
          <w:color w:val="000000"/>
          <w:lang w:eastAsia="en-GB"/>
        </w:rPr>
      </w:pPr>
      <w:r>
        <w:rPr>
          <w:rFonts w:eastAsia="Times New Roman" w:cs="Arial"/>
          <w:color w:val="000000"/>
          <w:lang w:eastAsia="en-GB"/>
        </w:rPr>
        <w:t xml:space="preserve">The FCA should ensure any principles are developed in partnership with the industry rather than delegating responsibility to any advisory group. </w:t>
      </w:r>
    </w:p>
    <w:p w:rsidR="003053B4" w:rsidRPr="00F23ABF" w:rsidRDefault="003053B4" w:rsidP="00632206">
      <w:pPr>
        <w:rPr>
          <w:rFonts w:eastAsia="Times New Roman" w:cs="Times New Roman"/>
          <w:b/>
          <w:lang w:eastAsia="en-GB"/>
        </w:rPr>
      </w:pPr>
      <w:r w:rsidRPr="00F23ABF">
        <w:rPr>
          <w:rFonts w:eastAsia="Times New Roman" w:cs="Arial"/>
          <w:b/>
          <w:color w:val="000000"/>
          <w:lang w:eastAsia="en-GB"/>
        </w:rPr>
        <w:t>Q22: Do you have views on whether any elements of the FCA’s regulatory framework may constrain the development of open finance? Please provide specific examples.</w:t>
      </w:r>
    </w:p>
    <w:p w:rsidR="004D4148" w:rsidRPr="00632206" w:rsidRDefault="001E77A4" w:rsidP="00632206">
      <w:pPr>
        <w:rPr>
          <w:b/>
          <w:bCs/>
          <w:color w:val="000000" w:themeColor="text1"/>
        </w:rPr>
      </w:pPr>
      <w:r>
        <w:t xml:space="preserve">We have had no specific feedback on this. </w:t>
      </w:r>
      <w:r w:rsidR="00F23ABF">
        <w:t xml:space="preserve"> </w:t>
      </w:r>
      <w:r w:rsidR="004D4148" w:rsidRPr="00632206">
        <w:br w:type="page"/>
      </w:r>
    </w:p>
    <w:p w:rsidR="002D7358" w:rsidRPr="008942CB" w:rsidRDefault="002D7358" w:rsidP="00D87F11">
      <w:pPr>
        <w:sectPr w:rsidR="002D7358" w:rsidRPr="008942CB" w:rsidSect="008320AB">
          <w:footerReference w:type="even" r:id="rId10"/>
          <w:footerReference w:type="default" r:id="rId11"/>
          <w:pgSz w:w="11906" w:h="16838" w:code="9"/>
          <w:pgMar w:top="851" w:right="851" w:bottom="1418" w:left="2580" w:header="567" w:footer="284" w:gutter="0"/>
          <w:cols w:space="227"/>
          <w:docGrid w:linePitch="360"/>
        </w:sectPr>
      </w:pPr>
    </w:p>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86"/>
        <w:gridCol w:w="7371"/>
      </w:tblGrid>
      <w:tr w:rsidR="002D7358" w:rsidRPr="008942CB" w:rsidTr="002D7358">
        <w:trPr>
          <w:trHeight w:hRule="exact" w:val="1136"/>
        </w:trPr>
        <w:tc>
          <w:tcPr>
            <w:tcW w:w="3686" w:type="dxa"/>
            <w:shd w:val="clear" w:color="auto" w:fill="auto"/>
          </w:tcPr>
          <w:p w:rsidR="002D7358" w:rsidRPr="008942CB" w:rsidRDefault="002D7358" w:rsidP="0008572E">
            <w:pPr>
              <w:ind w:left="851"/>
            </w:pPr>
          </w:p>
        </w:tc>
        <w:tc>
          <w:tcPr>
            <w:tcW w:w="7371" w:type="dxa"/>
            <w:shd w:val="clear" w:color="auto" w:fill="auto"/>
          </w:tcPr>
          <w:p w:rsidR="002D7358" w:rsidRPr="008942CB" w:rsidRDefault="002D7358" w:rsidP="0008572E">
            <w:pPr>
              <w:ind w:left="851"/>
            </w:pPr>
          </w:p>
        </w:tc>
      </w:tr>
      <w:tr w:rsidR="002D7358" w:rsidRPr="008942CB" w:rsidTr="000C5B60">
        <w:trPr>
          <w:trHeight w:hRule="exact" w:val="7786"/>
        </w:trPr>
        <w:tc>
          <w:tcPr>
            <w:tcW w:w="3686" w:type="dxa"/>
            <w:shd w:val="clear" w:color="auto" w:fill="auto"/>
          </w:tcPr>
          <w:p w:rsidR="002D7358" w:rsidRPr="008942CB" w:rsidRDefault="002D7358" w:rsidP="0008572E">
            <w:pPr>
              <w:ind w:left="851"/>
            </w:pPr>
          </w:p>
        </w:tc>
        <w:tc>
          <w:tcPr>
            <w:tcW w:w="7371" w:type="dxa"/>
            <w:shd w:val="clear" w:color="auto" w:fill="F1B434" w:themeFill="text2"/>
          </w:tcPr>
          <w:p w:rsidR="002D7358" w:rsidRPr="008942CB" w:rsidRDefault="002D7358" w:rsidP="00FE403E">
            <w:pPr>
              <w:pStyle w:val="Contactdetails"/>
            </w:pPr>
          </w:p>
          <w:p w:rsidR="002D7358" w:rsidRDefault="006C162F" w:rsidP="00FE403E">
            <w:pPr>
              <w:pStyle w:val="Contactdetails"/>
            </w:pPr>
            <w:bookmarkStart w:id="2" w:name="backcover"/>
            <w:bookmarkEnd w:id="2"/>
            <w:r>
              <w:t>By Rober</w:t>
            </w:r>
            <w:r w:rsidR="00023236">
              <w:t>t Thickett</w:t>
            </w:r>
          </w:p>
          <w:p w:rsidR="00023236" w:rsidRDefault="00023236" w:rsidP="00FE403E">
            <w:pPr>
              <w:pStyle w:val="Contactdetails"/>
            </w:pPr>
          </w:p>
          <w:p w:rsidR="00023236" w:rsidRDefault="00023236" w:rsidP="00FE403E">
            <w:pPr>
              <w:pStyle w:val="Contactdetails"/>
            </w:pPr>
            <w:r>
              <w:t>robert.thickett@bsa.org.uk</w:t>
            </w:r>
          </w:p>
          <w:p w:rsidR="00023236" w:rsidRPr="008942CB" w:rsidRDefault="00023236" w:rsidP="00FE403E">
            <w:pPr>
              <w:pStyle w:val="Contactdetails"/>
            </w:pPr>
            <w:r>
              <w:t>02075205918</w:t>
            </w:r>
          </w:p>
          <w:p w:rsidR="0060258F" w:rsidRPr="008942CB" w:rsidRDefault="0060258F" w:rsidP="00FE403E">
            <w:pPr>
              <w:pStyle w:val="Contactdetails"/>
            </w:pPr>
          </w:p>
          <w:p w:rsidR="0060258F" w:rsidRPr="008942CB" w:rsidRDefault="0060258F" w:rsidP="00FD3B6C">
            <w:pPr>
              <w:pStyle w:val="Addressdetails"/>
            </w:pPr>
            <w:r w:rsidRPr="008942CB">
              <w:t>York House</w:t>
            </w:r>
          </w:p>
          <w:p w:rsidR="0060258F" w:rsidRPr="008942CB" w:rsidRDefault="0060258F" w:rsidP="00FD3B6C">
            <w:pPr>
              <w:pStyle w:val="Addressdetails"/>
            </w:pPr>
            <w:r w:rsidRPr="008942CB">
              <w:t>23 Kingsway</w:t>
            </w:r>
          </w:p>
          <w:p w:rsidR="0060258F" w:rsidRPr="008942CB" w:rsidRDefault="008942CB" w:rsidP="00FD3B6C">
            <w:pPr>
              <w:pStyle w:val="Addressdetails"/>
            </w:pPr>
            <w:r w:rsidRPr="008942CB">
              <w:t>London WC2B 6UJ</w:t>
            </w:r>
          </w:p>
          <w:p w:rsidR="0060258F" w:rsidRPr="008942CB" w:rsidRDefault="0060258F" w:rsidP="00FD3B6C">
            <w:pPr>
              <w:pStyle w:val="Addressdetails"/>
            </w:pPr>
          </w:p>
          <w:p w:rsidR="0060258F" w:rsidRPr="008942CB" w:rsidRDefault="0060258F" w:rsidP="00FD3B6C">
            <w:pPr>
              <w:pStyle w:val="Addressdetails"/>
            </w:pPr>
            <w:r w:rsidRPr="008942CB">
              <w:t>020 7520 5900</w:t>
            </w:r>
          </w:p>
          <w:p w:rsidR="0060258F" w:rsidRPr="008942CB" w:rsidRDefault="0060258F" w:rsidP="00FD3B6C">
            <w:pPr>
              <w:pStyle w:val="Addressdetails"/>
            </w:pPr>
            <w:r w:rsidRPr="008942CB">
              <w:t>@BSABuildingSocs</w:t>
            </w:r>
          </w:p>
          <w:p w:rsidR="0060258F" w:rsidRPr="008942CB" w:rsidRDefault="0060258F" w:rsidP="00FD3B6C">
            <w:pPr>
              <w:pStyle w:val="Addressdetails"/>
            </w:pPr>
            <w:r w:rsidRPr="008942CB">
              <w:t>www.bsa.org.uk</w:t>
            </w:r>
          </w:p>
          <w:p w:rsidR="0060258F" w:rsidRPr="008942CB" w:rsidRDefault="0060258F" w:rsidP="00FD3B6C">
            <w:pPr>
              <w:pStyle w:val="Addressdetails"/>
            </w:pPr>
          </w:p>
          <w:p w:rsidR="0060258F" w:rsidRPr="008942CB" w:rsidRDefault="0060258F" w:rsidP="008942CB">
            <w:pPr>
              <w:pStyle w:val="Addressdetails"/>
            </w:pPr>
            <w:r w:rsidRPr="008942CB">
              <w:t xml:space="preserve">BSA EU </w:t>
            </w:r>
            <w:r w:rsidR="009E1E23" w:rsidRPr="008942CB">
              <w:t>Transparency</w:t>
            </w:r>
            <w:r w:rsidRPr="008942CB">
              <w:t xml:space="preserve"> Register No: 924933110421-64</w:t>
            </w:r>
          </w:p>
        </w:tc>
      </w:tr>
      <w:tr w:rsidR="002D7358" w:rsidRPr="008942CB" w:rsidTr="00470A28">
        <w:trPr>
          <w:trHeight w:hRule="exact" w:val="3134"/>
        </w:trPr>
        <w:tc>
          <w:tcPr>
            <w:tcW w:w="3686" w:type="dxa"/>
            <w:shd w:val="clear" w:color="auto" w:fill="auto"/>
          </w:tcPr>
          <w:p w:rsidR="002D7358" w:rsidRPr="008942CB" w:rsidRDefault="002D7358" w:rsidP="002D7358">
            <w:pPr>
              <w:ind w:left="851"/>
            </w:pPr>
          </w:p>
        </w:tc>
        <w:tc>
          <w:tcPr>
            <w:tcW w:w="7371" w:type="dxa"/>
            <w:shd w:val="clear" w:color="auto" w:fill="F1B434" w:themeFill="text2"/>
          </w:tcPr>
          <w:p w:rsidR="002D7358" w:rsidRPr="008942CB" w:rsidRDefault="002D7358" w:rsidP="0060258F">
            <w:pPr>
              <w:pStyle w:val="Contactdetails"/>
              <w:rPr>
                <w:sz w:val="32"/>
                <w:szCs w:val="32"/>
              </w:rPr>
            </w:pPr>
            <w:r w:rsidRPr="008942CB">
              <w:rPr>
                <w:sz w:val="32"/>
                <w:szCs w:val="32"/>
              </w:rPr>
              <w:t>www.bsa.org.uk</w:t>
            </w:r>
          </w:p>
          <w:p w:rsidR="0008572E" w:rsidRPr="008942CB" w:rsidRDefault="0008572E" w:rsidP="0008572E">
            <w:pPr>
              <w:pStyle w:val="Contactdetails"/>
              <w:spacing w:line="200" w:lineRule="atLeast"/>
              <w:rPr>
                <w:sz w:val="17"/>
                <w:szCs w:val="17"/>
              </w:rPr>
            </w:pPr>
          </w:p>
          <w:p w:rsidR="0008572E" w:rsidRPr="008942CB" w:rsidRDefault="00611BF5" w:rsidP="0008572E">
            <w:pPr>
              <w:pStyle w:val="Contactdetails"/>
              <w:spacing w:line="200" w:lineRule="atLeast"/>
              <w:rPr>
                <w:spacing w:val="-2"/>
                <w:sz w:val="17"/>
                <w:szCs w:val="17"/>
              </w:rPr>
            </w:pPr>
            <w:r w:rsidRPr="008942CB">
              <w:rPr>
                <w:spacing w:val="-2"/>
                <w:sz w:val="17"/>
                <w:szCs w:val="17"/>
              </w:rPr>
              <w:t xml:space="preserve">The Building Societies Association (BSA) is the voice of the UK’s building societies and also </w:t>
            </w:r>
            <w:r w:rsidRPr="008942CB">
              <w:rPr>
                <w:spacing w:val="-2"/>
                <w:sz w:val="17"/>
                <w:szCs w:val="17"/>
              </w:rPr>
              <w:br/>
              <w:t>represents a number of credit unions.</w:t>
            </w:r>
          </w:p>
          <w:p w:rsidR="00611BF5" w:rsidRPr="008942CB" w:rsidRDefault="00611BF5" w:rsidP="0008572E">
            <w:pPr>
              <w:pStyle w:val="Contactdetails"/>
              <w:spacing w:line="200" w:lineRule="atLeast"/>
              <w:rPr>
                <w:spacing w:val="-2"/>
                <w:sz w:val="17"/>
                <w:szCs w:val="17"/>
              </w:rPr>
            </w:pPr>
          </w:p>
          <w:p w:rsidR="0008572E" w:rsidRPr="008942CB" w:rsidRDefault="0008572E" w:rsidP="0008572E">
            <w:pPr>
              <w:pStyle w:val="Contactdetails"/>
              <w:spacing w:line="200" w:lineRule="atLeast"/>
              <w:rPr>
                <w:spacing w:val="-2"/>
                <w:sz w:val="17"/>
                <w:szCs w:val="17"/>
              </w:rPr>
            </w:pPr>
            <w:r w:rsidRPr="008942CB">
              <w:rPr>
                <w:spacing w:val="-2"/>
                <w:sz w:val="17"/>
                <w:szCs w:val="17"/>
              </w:rPr>
              <w:t xml:space="preserve">We fulfil two key roles. We provide our members with information to help them run their </w:t>
            </w:r>
            <w:r w:rsidRPr="008942CB">
              <w:rPr>
                <w:spacing w:val="-2"/>
                <w:sz w:val="17"/>
                <w:szCs w:val="17"/>
              </w:rPr>
              <w:br/>
              <w:t xml:space="preserve">businesses. We also represent their interests to audiences including the Financial Conduct </w:t>
            </w:r>
            <w:r w:rsidR="00470A28" w:rsidRPr="008942CB">
              <w:rPr>
                <w:spacing w:val="-2"/>
                <w:sz w:val="17"/>
                <w:szCs w:val="17"/>
              </w:rPr>
              <w:br/>
            </w:r>
            <w:r w:rsidRPr="008942CB">
              <w:rPr>
                <w:spacing w:val="-2"/>
                <w:sz w:val="17"/>
                <w:szCs w:val="17"/>
              </w:rPr>
              <w:t>Authority, Prudential Regulation Autho</w:t>
            </w:r>
            <w:r w:rsidR="000F24D3" w:rsidRPr="008942CB">
              <w:rPr>
                <w:spacing w:val="-2"/>
                <w:sz w:val="17"/>
                <w:szCs w:val="17"/>
              </w:rPr>
              <w:t>rity and other regulators, the G</w:t>
            </w:r>
            <w:r w:rsidRPr="008942CB">
              <w:rPr>
                <w:spacing w:val="-2"/>
                <w:sz w:val="17"/>
                <w:szCs w:val="17"/>
              </w:rPr>
              <w:t>overnm</w:t>
            </w:r>
            <w:r w:rsidR="000F24D3" w:rsidRPr="008942CB">
              <w:rPr>
                <w:spacing w:val="-2"/>
                <w:sz w:val="17"/>
                <w:szCs w:val="17"/>
              </w:rPr>
              <w:t xml:space="preserve">ent and </w:t>
            </w:r>
            <w:r w:rsidR="00470A28" w:rsidRPr="008942CB">
              <w:rPr>
                <w:spacing w:val="-2"/>
                <w:sz w:val="17"/>
                <w:szCs w:val="17"/>
              </w:rPr>
              <w:br/>
            </w:r>
            <w:r w:rsidR="000F24D3" w:rsidRPr="008942CB">
              <w:rPr>
                <w:spacing w:val="-2"/>
                <w:sz w:val="17"/>
                <w:szCs w:val="17"/>
              </w:rPr>
              <w:t>P</w:t>
            </w:r>
            <w:r w:rsidR="00470A28" w:rsidRPr="008942CB">
              <w:rPr>
                <w:spacing w:val="-2"/>
                <w:sz w:val="17"/>
                <w:szCs w:val="17"/>
              </w:rPr>
              <w:t xml:space="preserve">arliament, the Bank </w:t>
            </w:r>
            <w:r w:rsidRPr="008942CB">
              <w:rPr>
                <w:spacing w:val="-2"/>
                <w:sz w:val="17"/>
                <w:szCs w:val="17"/>
              </w:rPr>
              <w:t xml:space="preserve">of England, the media and other opinion formers, </w:t>
            </w:r>
            <w:r w:rsidR="00470A28" w:rsidRPr="008942CB">
              <w:rPr>
                <w:spacing w:val="-2"/>
                <w:sz w:val="17"/>
                <w:szCs w:val="17"/>
              </w:rPr>
              <w:br/>
            </w:r>
            <w:r w:rsidRPr="008942CB">
              <w:rPr>
                <w:spacing w:val="-2"/>
                <w:sz w:val="17"/>
                <w:szCs w:val="17"/>
              </w:rPr>
              <w:t>and the general public.</w:t>
            </w:r>
          </w:p>
          <w:p w:rsidR="0008572E" w:rsidRPr="008942CB" w:rsidRDefault="0008572E" w:rsidP="0008572E">
            <w:pPr>
              <w:pStyle w:val="Contactdetails"/>
              <w:spacing w:line="200" w:lineRule="atLeast"/>
              <w:rPr>
                <w:spacing w:val="-2"/>
                <w:sz w:val="17"/>
                <w:szCs w:val="17"/>
              </w:rPr>
            </w:pPr>
          </w:p>
          <w:p w:rsidR="006551A2" w:rsidRDefault="006551A2" w:rsidP="0008572E">
            <w:pPr>
              <w:pStyle w:val="Contactdetails"/>
              <w:spacing w:line="200" w:lineRule="atLeast"/>
              <w:rPr>
                <w:spacing w:val="-2"/>
                <w:sz w:val="17"/>
                <w:szCs w:val="17"/>
              </w:rPr>
            </w:pPr>
            <w:r w:rsidRPr="006551A2">
              <w:rPr>
                <w:spacing w:val="-2"/>
                <w:sz w:val="17"/>
                <w:szCs w:val="17"/>
              </w:rPr>
              <w:t>Our members have total assets of over £4</w:t>
            </w:r>
            <w:r w:rsidR="000502DB">
              <w:rPr>
                <w:spacing w:val="-2"/>
                <w:sz w:val="17"/>
                <w:szCs w:val="17"/>
              </w:rPr>
              <w:t>2</w:t>
            </w:r>
            <w:r w:rsidRPr="006551A2">
              <w:rPr>
                <w:spacing w:val="-2"/>
                <w:sz w:val="17"/>
                <w:szCs w:val="17"/>
              </w:rPr>
              <w:t xml:space="preserve">0 billion, and account for 23% </w:t>
            </w:r>
          </w:p>
          <w:p w:rsidR="0060258F" w:rsidRPr="008942CB" w:rsidRDefault="006551A2" w:rsidP="0008572E">
            <w:pPr>
              <w:pStyle w:val="Contactdetails"/>
              <w:spacing w:line="200" w:lineRule="atLeast"/>
              <w:rPr>
                <w:sz w:val="16"/>
                <w:szCs w:val="16"/>
              </w:rPr>
            </w:pPr>
            <w:r w:rsidRPr="006551A2">
              <w:rPr>
                <w:spacing w:val="-2"/>
                <w:sz w:val="17"/>
                <w:szCs w:val="17"/>
              </w:rPr>
              <w:t>of the UK mortgage market and 19% of the UK savings market.</w:t>
            </w:r>
          </w:p>
        </w:tc>
      </w:tr>
    </w:tbl>
    <w:p w:rsidR="00D87F11" w:rsidRPr="008942CB" w:rsidRDefault="00D87F11" w:rsidP="0008572E"/>
    <w:sectPr w:rsidR="00D87F11" w:rsidRPr="008942CB" w:rsidSect="002D7358">
      <w:footerReference w:type="even" r:id="rId12"/>
      <w:footerReference w:type="default" r:id="rId13"/>
      <w:pgSz w:w="11906" w:h="16838" w:code="9"/>
      <w:pgMar w:top="851" w:right="851" w:bottom="1418"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236" w:rsidRDefault="00023236" w:rsidP="003114C2">
      <w:pPr>
        <w:spacing w:after="0" w:line="240" w:lineRule="auto"/>
      </w:pPr>
      <w:r>
        <w:separator/>
      </w:r>
    </w:p>
  </w:endnote>
  <w:endnote w:type="continuationSeparator" w:id="0">
    <w:p w:rsidR="00023236" w:rsidRDefault="00023236" w:rsidP="003114C2">
      <w:pPr>
        <w:spacing w:after="0" w:line="240" w:lineRule="auto"/>
      </w:pPr>
      <w:r>
        <w:continuationSeparator/>
      </w:r>
    </w:p>
  </w:endnote>
  <w:endnote w:id="1">
    <w:p w:rsidR="006C162F" w:rsidRPr="006C162F" w:rsidRDefault="006C162F">
      <w:pPr>
        <w:pStyle w:val="EndnoteText"/>
        <w:rPr>
          <w:lang w:val="en-US"/>
        </w:rPr>
      </w:pPr>
      <w:r>
        <w:t>BSA Digital Attitudes Consumer Survey 2020</w:t>
      </w:r>
      <w:r>
        <w:rPr>
          <w:noProof/>
          <w:lang w:eastAsia="en-GB"/>
        </w:rPr>
        <w:drawing>
          <wp:inline distT="0" distB="0" distL="0" distR="0" wp14:anchorId="2940527A" wp14:editId="23A8E5B8">
            <wp:extent cx="6479540" cy="4420772"/>
            <wp:effectExtent l="952"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2C5CA9.tmp"/>
                    <pic:cNvPicPr/>
                  </pic:nvPicPr>
                  <pic:blipFill rotWithShape="1">
                    <a:blip r:embed="rId1">
                      <a:extLst>
                        <a:ext uri="{28A0092B-C50C-407E-A947-70E740481C1C}">
                          <a14:useLocalDpi xmlns:a14="http://schemas.microsoft.com/office/drawing/2010/main" val="0"/>
                        </a:ext>
                      </a:extLst>
                    </a:blip>
                    <a:srcRect l="12466" t="13447" r="26370" b="10036"/>
                    <a:stretch/>
                  </pic:blipFill>
                  <pic:spPr bwMode="auto">
                    <a:xfrm rot="16200000">
                      <a:off x="0" y="0"/>
                      <a:ext cx="6479540" cy="4420772"/>
                    </a:xfrm>
                    <a:prstGeom prst="rect">
                      <a:avLst/>
                    </a:prstGeom>
                    <a:ln>
                      <a:noFill/>
                    </a:ln>
                    <a:extLst>
                      <a:ext uri="{53640926-AAD7-44D8-BBD7-CCE9431645EC}">
                        <a14:shadowObscured xmlns:a14="http://schemas.microsoft.com/office/drawing/2010/main"/>
                      </a:ext>
                    </a:extLst>
                  </pic:spPr>
                </pic:pic>
              </a:graphicData>
            </a:graphic>
          </wp:inline>
        </w:drawing>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505" w:type="dxa"/>
      <w:tblBorders>
        <w:top w:val="single" w:sz="12" w:space="0" w:color="F1B434" w:themeColor="text2"/>
        <w:left w:val="none" w:sz="0" w:space="0" w:color="auto"/>
        <w:bottom w:val="none" w:sz="0" w:space="0" w:color="auto"/>
        <w:right w:val="none" w:sz="0" w:space="0" w:color="auto"/>
        <w:insideH w:val="none" w:sz="0" w:space="0" w:color="auto"/>
        <w:insideV w:val="none" w:sz="0" w:space="0" w:color="auto"/>
      </w:tblBorders>
      <w:tblLayout w:type="fixed"/>
      <w:tblCellMar>
        <w:top w:w="85" w:type="dxa"/>
        <w:left w:w="0" w:type="dxa"/>
        <w:right w:w="0" w:type="dxa"/>
      </w:tblCellMar>
      <w:tblLook w:val="04A0" w:firstRow="1" w:lastRow="0" w:firstColumn="1" w:lastColumn="0" w:noHBand="0" w:noVBand="1"/>
    </w:tblPr>
    <w:tblGrid>
      <w:gridCol w:w="5954"/>
      <w:gridCol w:w="1701"/>
      <w:gridCol w:w="850"/>
    </w:tblGrid>
    <w:tr w:rsidR="0008572E" w:rsidTr="00A17F86">
      <w:trPr>
        <w:trHeight w:hRule="exact" w:val="680"/>
      </w:trPr>
      <w:tc>
        <w:tcPr>
          <w:tcW w:w="5954" w:type="dxa"/>
        </w:tcPr>
        <w:p w:rsidR="0008572E" w:rsidRDefault="00D07DDA" w:rsidP="001B66CC">
          <w:pPr>
            <w:pStyle w:val="Footer"/>
            <w:ind w:right="567"/>
          </w:pPr>
          <w:r>
            <w:rPr>
              <w:noProof/>
            </w:rPr>
            <w:fldChar w:fldCharType="begin"/>
          </w:r>
          <w:r>
            <w:rPr>
              <w:noProof/>
            </w:rPr>
            <w:instrText xml:space="preserve"> STYLEREF  "Document title"  \* MERGEFORMAT </w:instrText>
          </w:r>
          <w:r>
            <w:rPr>
              <w:noProof/>
            </w:rPr>
            <w:fldChar w:fldCharType="separate"/>
          </w:r>
          <w:r w:rsidR="0009645C">
            <w:rPr>
              <w:noProof/>
            </w:rPr>
            <w:t>BSA response to FCA Call for Inputs on Open Finance</w:t>
          </w:r>
          <w:r>
            <w:rPr>
              <w:noProof/>
            </w:rPr>
            <w:fldChar w:fldCharType="end"/>
          </w:r>
        </w:p>
      </w:tc>
      <w:tc>
        <w:tcPr>
          <w:tcW w:w="1701" w:type="dxa"/>
        </w:tcPr>
        <w:p w:rsidR="0008572E" w:rsidRPr="000C5B60" w:rsidRDefault="0008572E">
          <w:pPr>
            <w:pStyle w:val="Footer"/>
            <w:rPr>
              <w:color w:val="F1B434" w:themeColor="text2"/>
            </w:rPr>
          </w:pPr>
          <w:r w:rsidRPr="000C5B60">
            <w:rPr>
              <w:color w:val="F1B434" w:themeColor="text2"/>
            </w:rPr>
            <w:t>www.bsa.org.uk</w:t>
          </w:r>
        </w:p>
        <w:p w:rsidR="0008572E" w:rsidRDefault="0008572E">
          <w:pPr>
            <w:pStyle w:val="Footer"/>
          </w:pPr>
          <w:r w:rsidRPr="000C5B60">
            <w:rPr>
              <w:color w:val="F1B434" w:themeColor="text2"/>
            </w:rPr>
            <w:t>@BSABuildingSocs</w:t>
          </w:r>
        </w:p>
      </w:tc>
      <w:tc>
        <w:tcPr>
          <w:tcW w:w="850" w:type="dxa"/>
        </w:tcPr>
        <w:p w:rsidR="0008572E" w:rsidRDefault="0008572E" w:rsidP="003114C2">
          <w:pPr>
            <w:pStyle w:val="Footer"/>
            <w:jc w:val="right"/>
          </w:pPr>
          <w:r>
            <w:fldChar w:fldCharType="begin"/>
          </w:r>
          <w:r>
            <w:instrText xml:space="preserve"> PAGE  \* Arabic  \* MERGEFORMAT </w:instrText>
          </w:r>
          <w:r>
            <w:fldChar w:fldCharType="separate"/>
          </w:r>
          <w:r w:rsidR="0009645C">
            <w:rPr>
              <w:noProof/>
            </w:rPr>
            <w:t>4</w:t>
          </w:r>
          <w:r>
            <w:fldChar w:fldCharType="end"/>
          </w:r>
        </w:p>
      </w:tc>
    </w:tr>
  </w:tbl>
  <w:p w:rsidR="0008572E" w:rsidRPr="001B66CC" w:rsidRDefault="0008572E" w:rsidP="001B66CC">
    <w:pPr>
      <w:pStyle w:val="Footer"/>
      <w:spacing w:line="240" w:lineRule="auto"/>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505" w:type="dxa"/>
      <w:tblBorders>
        <w:top w:val="single" w:sz="12" w:space="0" w:color="F1B434" w:themeColor="text2"/>
        <w:left w:val="none" w:sz="0" w:space="0" w:color="auto"/>
        <w:bottom w:val="none" w:sz="0" w:space="0" w:color="auto"/>
        <w:right w:val="none" w:sz="0" w:space="0" w:color="auto"/>
        <w:insideH w:val="none" w:sz="0" w:space="0" w:color="auto"/>
        <w:insideV w:val="none" w:sz="0" w:space="0" w:color="auto"/>
      </w:tblBorders>
      <w:tblLayout w:type="fixed"/>
      <w:tblCellMar>
        <w:top w:w="85" w:type="dxa"/>
        <w:left w:w="0" w:type="dxa"/>
        <w:right w:w="0" w:type="dxa"/>
      </w:tblCellMar>
      <w:tblLook w:val="04A0" w:firstRow="1" w:lastRow="0" w:firstColumn="1" w:lastColumn="0" w:noHBand="0" w:noVBand="1"/>
    </w:tblPr>
    <w:tblGrid>
      <w:gridCol w:w="5954"/>
      <w:gridCol w:w="1701"/>
      <w:gridCol w:w="850"/>
    </w:tblGrid>
    <w:tr w:rsidR="0008572E" w:rsidTr="00A17F86">
      <w:trPr>
        <w:trHeight w:hRule="exact" w:val="680"/>
      </w:trPr>
      <w:tc>
        <w:tcPr>
          <w:tcW w:w="5954" w:type="dxa"/>
        </w:tcPr>
        <w:p w:rsidR="0008572E" w:rsidRDefault="00D07DDA" w:rsidP="001B66CC">
          <w:pPr>
            <w:pStyle w:val="Footer"/>
            <w:ind w:right="567"/>
          </w:pPr>
          <w:r>
            <w:rPr>
              <w:noProof/>
            </w:rPr>
            <w:fldChar w:fldCharType="begin"/>
          </w:r>
          <w:r>
            <w:rPr>
              <w:noProof/>
            </w:rPr>
            <w:instrText xml:space="preserve"> STYLEREF  "Document title"  \* MERGEFORMAT </w:instrText>
          </w:r>
          <w:r>
            <w:rPr>
              <w:noProof/>
            </w:rPr>
            <w:fldChar w:fldCharType="separate"/>
          </w:r>
          <w:r w:rsidR="0009645C">
            <w:rPr>
              <w:noProof/>
            </w:rPr>
            <w:t>BSA response to FCA Call for Inputs on Open Finance</w:t>
          </w:r>
          <w:r>
            <w:rPr>
              <w:noProof/>
            </w:rPr>
            <w:fldChar w:fldCharType="end"/>
          </w:r>
        </w:p>
      </w:tc>
      <w:tc>
        <w:tcPr>
          <w:tcW w:w="1701" w:type="dxa"/>
        </w:tcPr>
        <w:p w:rsidR="0008572E" w:rsidRPr="000C5B60" w:rsidRDefault="0008572E" w:rsidP="0008572E">
          <w:pPr>
            <w:pStyle w:val="Footer"/>
            <w:rPr>
              <w:color w:val="F1B434" w:themeColor="text2"/>
            </w:rPr>
          </w:pPr>
          <w:r w:rsidRPr="000C5B60">
            <w:rPr>
              <w:color w:val="F1B434" w:themeColor="text2"/>
            </w:rPr>
            <w:t>www.bsa.org.uk</w:t>
          </w:r>
        </w:p>
        <w:p w:rsidR="0008572E" w:rsidRDefault="0008572E" w:rsidP="0008572E">
          <w:pPr>
            <w:pStyle w:val="Footer"/>
          </w:pPr>
          <w:r w:rsidRPr="000C5B60">
            <w:rPr>
              <w:color w:val="F1B434" w:themeColor="text2"/>
            </w:rPr>
            <w:t>@BSABuildingSocs</w:t>
          </w:r>
        </w:p>
      </w:tc>
      <w:tc>
        <w:tcPr>
          <w:tcW w:w="850" w:type="dxa"/>
        </w:tcPr>
        <w:p w:rsidR="0008572E" w:rsidRDefault="0008572E" w:rsidP="0008572E">
          <w:pPr>
            <w:pStyle w:val="Footer"/>
            <w:jc w:val="right"/>
          </w:pPr>
          <w:r>
            <w:fldChar w:fldCharType="begin"/>
          </w:r>
          <w:r>
            <w:instrText xml:space="preserve"> PAGE  \* Arabic  \* MERGEFORMAT </w:instrText>
          </w:r>
          <w:r>
            <w:fldChar w:fldCharType="separate"/>
          </w:r>
          <w:r w:rsidR="0009645C">
            <w:rPr>
              <w:noProof/>
            </w:rPr>
            <w:t>5</w:t>
          </w:r>
          <w:r>
            <w:fldChar w:fldCharType="end"/>
          </w:r>
        </w:p>
      </w:tc>
    </w:tr>
  </w:tbl>
  <w:p w:rsidR="0008572E" w:rsidRPr="001B66CC" w:rsidRDefault="0008572E" w:rsidP="001B66CC">
    <w:pPr>
      <w:pStyle w:val="Footer"/>
      <w:spacing w:line="240" w:lineRule="auto"/>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16B" w:rsidRPr="001B66CC" w:rsidRDefault="006F116B" w:rsidP="001B66CC">
    <w:pPr>
      <w:pStyle w:val="Footer"/>
      <w:spacing w:line="240" w:lineRule="auto"/>
      <w:rPr>
        <w:sz w:val="8"/>
        <w:szCs w:val="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B33" w:rsidRPr="001B66CC" w:rsidRDefault="00C86B33" w:rsidP="001B66CC">
    <w:pPr>
      <w:pStyle w:val="Footer"/>
      <w:spacing w:line="240" w:lineRule="auto"/>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236" w:rsidRDefault="00023236" w:rsidP="003114C2">
      <w:pPr>
        <w:spacing w:after="0" w:line="240" w:lineRule="auto"/>
      </w:pPr>
      <w:r>
        <w:separator/>
      </w:r>
    </w:p>
  </w:footnote>
  <w:footnote w:type="continuationSeparator" w:id="0">
    <w:p w:rsidR="00023236" w:rsidRDefault="00023236" w:rsidP="003114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D9E5A1C"/>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B1B8687A"/>
    <w:lvl w:ilvl="0">
      <w:start w:val="1"/>
      <w:numFmt w:val="bullet"/>
      <w:pStyle w:val="ListBullet2"/>
      <w:lvlText w:val="–"/>
      <w:lvlJc w:val="left"/>
      <w:pPr>
        <w:ind w:left="643" w:hanging="360"/>
      </w:pPr>
      <w:rPr>
        <w:rFonts w:ascii="Calibri" w:hAnsi="Calibri" w:hint="default"/>
      </w:rPr>
    </w:lvl>
  </w:abstractNum>
  <w:abstractNum w:abstractNumId="2" w15:restartNumberingAfterBreak="0">
    <w:nsid w:val="FFFFFF88"/>
    <w:multiLevelType w:val="singleLevel"/>
    <w:tmpl w:val="95AAFDB8"/>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F650DE9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D036A8C"/>
    <w:multiLevelType w:val="multilevel"/>
    <w:tmpl w:val="9B56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211A93"/>
    <w:multiLevelType w:val="hybridMultilevel"/>
    <w:tmpl w:val="6EA4237E"/>
    <w:lvl w:ilvl="0" w:tplc="919A4B04">
      <w:start w:val="1"/>
      <w:numFmt w:val="lowerRoman"/>
      <w:pStyle w:val="Numbering-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4D7891"/>
    <w:multiLevelType w:val="hybridMultilevel"/>
    <w:tmpl w:val="3370CD34"/>
    <w:lvl w:ilvl="0" w:tplc="7A78DD68">
      <w:start w:val="1"/>
      <w:numFmt w:val="lowerLetter"/>
      <w:pStyle w:val="Numbering-Alpha"/>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7" w15:restartNumberingAfterBreak="0">
    <w:nsid w:val="57854C54"/>
    <w:multiLevelType w:val="multilevel"/>
    <w:tmpl w:val="CE0EA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3B307F"/>
    <w:multiLevelType w:val="hybridMultilevel"/>
    <w:tmpl w:val="498A9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5B4D6A"/>
    <w:multiLevelType w:val="multilevel"/>
    <w:tmpl w:val="53F2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C41969"/>
    <w:multiLevelType w:val="hybridMultilevel"/>
    <w:tmpl w:val="6FD0DAFA"/>
    <w:lvl w:ilvl="0" w:tplc="1B4EF390">
      <w:start w:val="1"/>
      <w:numFmt w:val="decimal"/>
      <w:pStyle w:val="Numberedparagraph"/>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10"/>
  </w:num>
  <w:num w:numId="6">
    <w:abstractNumId w:val="6"/>
  </w:num>
  <w:num w:numId="7">
    <w:abstractNumId w:val="5"/>
  </w:num>
  <w:num w:numId="8">
    <w:abstractNumId w:val="9"/>
  </w:num>
  <w:num w:numId="9">
    <w:abstractNumId w:val="4"/>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ttachedTemplate r:id="rId1"/>
  <w:stylePaneSortMethod w:val="0000"/>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236"/>
    <w:rsid w:val="00023236"/>
    <w:rsid w:val="00030201"/>
    <w:rsid w:val="0004114F"/>
    <w:rsid w:val="00041AB5"/>
    <w:rsid w:val="00044616"/>
    <w:rsid w:val="000502DB"/>
    <w:rsid w:val="000605FC"/>
    <w:rsid w:val="00080A8F"/>
    <w:rsid w:val="00081F7D"/>
    <w:rsid w:val="0008572E"/>
    <w:rsid w:val="0009645C"/>
    <w:rsid w:val="000A1251"/>
    <w:rsid w:val="000A526D"/>
    <w:rsid w:val="000C4778"/>
    <w:rsid w:val="000C5B60"/>
    <w:rsid w:val="000C6002"/>
    <w:rsid w:val="000D6BFA"/>
    <w:rsid w:val="000E0183"/>
    <w:rsid w:val="000F24D3"/>
    <w:rsid w:val="00100022"/>
    <w:rsid w:val="001134A3"/>
    <w:rsid w:val="00126B30"/>
    <w:rsid w:val="00140E14"/>
    <w:rsid w:val="00191C63"/>
    <w:rsid w:val="001B66CC"/>
    <w:rsid w:val="001D7EA8"/>
    <w:rsid w:val="001E77A4"/>
    <w:rsid w:val="001E7D3E"/>
    <w:rsid w:val="001F5F55"/>
    <w:rsid w:val="0021100C"/>
    <w:rsid w:val="00211457"/>
    <w:rsid w:val="0022292C"/>
    <w:rsid w:val="00237111"/>
    <w:rsid w:val="00253138"/>
    <w:rsid w:val="00262690"/>
    <w:rsid w:val="00275136"/>
    <w:rsid w:val="00281352"/>
    <w:rsid w:val="00281D28"/>
    <w:rsid w:val="002A230C"/>
    <w:rsid w:val="002A37D9"/>
    <w:rsid w:val="002A3F5D"/>
    <w:rsid w:val="002C44AA"/>
    <w:rsid w:val="002D7358"/>
    <w:rsid w:val="002E416B"/>
    <w:rsid w:val="003024C4"/>
    <w:rsid w:val="003053B4"/>
    <w:rsid w:val="003114C2"/>
    <w:rsid w:val="0032373B"/>
    <w:rsid w:val="00337680"/>
    <w:rsid w:val="00360834"/>
    <w:rsid w:val="00381210"/>
    <w:rsid w:val="00390918"/>
    <w:rsid w:val="00396495"/>
    <w:rsid w:val="003B0475"/>
    <w:rsid w:val="003C45FB"/>
    <w:rsid w:val="003D43EA"/>
    <w:rsid w:val="003D4801"/>
    <w:rsid w:val="003E5452"/>
    <w:rsid w:val="003F097C"/>
    <w:rsid w:val="004052BC"/>
    <w:rsid w:val="004556AB"/>
    <w:rsid w:val="00463810"/>
    <w:rsid w:val="00465E2F"/>
    <w:rsid w:val="00470A28"/>
    <w:rsid w:val="00477994"/>
    <w:rsid w:val="004839E9"/>
    <w:rsid w:val="004A0DCC"/>
    <w:rsid w:val="004B5B93"/>
    <w:rsid w:val="004B752A"/>
    <w:rsid w:val="004D4148"/>
    <w:rsid w:val="004D437C"/>
    <w:rsid w:val="004E7A8C"/>
    <w:rsid w:val="004E7D28"/>
    <w:rsid w:val="004F43C5"/>
    <w:rsid w:val="00502BF4"/>
    <w:rsid w:val="00510764"/>
    <w:rsid w:val="00510A7E"/>
    <w:rsid w:val="00513991"/>
    <w:rsid w:val="00535875"/>
    <w:rsid w:val="00542ADC"/>
    <w:rsid w:val="00542FEB"/>
    <w:rsid w:val="005463FF"/>
    <w:rsid w:val="00561FEB"/>
    <w:rsid w:val="00564083"/>
    <w:rsid w:val="005729F9"/>
    <w:rsid w:val="005966D1"/>
    <w:rsid w:val="005A65D3"/>
    <w:rsid w:val="005B332E"/>
    <w:rsid w:val="005B628A"/>
    <w:rsid w:val="005C2C34"/>
    <w:rsid w:val="005C7FE6"/>
    <w:rsid w:val="005E66F8"/>
    <w:rsid w:val="005E715C"/>
    <w:rsid w:val="005F1644"/>
    <w:rsid w:val="005F590E"/>
    <w:rsid w:val="0060258F"/>
    <w:rsid w:val="00605199"/>
    <w:rsid w:val="00611BF5"/>
    <w:rsid w:val="00613250"/>
    <w:rsid w:val="0062719C"/>
    <w:rsid w:val="00632206"/>
    <w:rsid w:val="006367B0"/>
    <w:rsid w:val="00640714"/>
    <w:rsid w:val="006551A2"/>
    <w:rsid w:val="006757AB"/>
    <w:rsid w:val="00680974"/>
    <w:rsid w:val="00691411"/>
    <w:rsid w:val="006978C5"/>
    <w:rsid w:val="006A473D"/>
    <w:rsid w:val="006B16E0"/>
    <w:rsid w:val="006B4816"/>
    <w:rsid w:val="006C0CA3"/>
    <w:rsid w:val="006C162F"/>
    <w:rsid w:val="006C3737"/>
    <w:rsid w:val="006F116B"/>
    <w:rsid w:val="006F5262"/>
    <w:rsid w:val="00705947"/>
    <w:rsid w:val="00711887"/>
    <w:rsid w:val="0072466B"/>
    <w:rsid w:val="00740DD0"/>
    <w:rsid w:val="00752222"/>
    <w:rsid w:val="00752254"/>
    <w:rsid w:val="007642F1"/>
    <w:rsid w:val="00765C84"/>
    <w:rsid w:val="0076614E"/>
    <w:rsid w:val="00781814"/>
    <w:rsid w:val="00785C72"/>
    <w:rsid w:val="00785DEA"/>
    <w:rsid w:val="00786833"/>
    <w:rsid w:val="00786AC9"/>
    <w:rsid w:val="00795053"/>
    <w:rsid w:val="007A0FEB"/>
    <w:rsid w:val="007A3AA2"/>
    <w:rsid w:val="007D4560"/>
    <w:rsid w:val="007D60E7"/>
    <w:rsid w:val="007F677D"/>
    <w:rsid w:val="008320AB"/>
    <w:rsid w:val="00846AB0"/>
    <w:rsid w:val="00854846"/>
    <w:rsid w:val="00860473"/>
    <w:rsid w:val="0086408C"/>
    <w:rsid w:val="008942CB"/>
    <w:rsid w:val="00896BF2"/>
    <w:rsid w:val="008A3231"/>
    <w:rsid w:val="008B28C1"/>
    <w:rsid w:val="008C2723"/>
    <w:rsid w:val="008D57B0"/>
    <w:rsid w:val="008E6991"/>
    <w:rsid w:val="0092617E"/>
    <w:rsid w:val="00926C08"/>
    <w:rsid w:val="00940E56"/>
    <w:rsid w:val="00946398"/>
    <w:rsid w:val="009475EE"/>
    <w:rsid w:val="009530C4"/>
    <w:rsid w:val="009606C4"/>
    <w:rsid w:val="00967FAE"/>
    <w:rsid w:val="00975BB6"/>
    <w:rsid w:val="00987A55"/>
    <w:rsid w:val="009B3D28"/>
    <w:rsid w:val="009C0A07"/>
    <w:rsid w:val="009E1E23"/>
    <w:rsid w:val="00A15C21"/>
    <w:rsid w:val="00A17F86"/>
    <w:rsid w:val="00A266B6"/>
    <w:rsid w:val="00A539ED"/>
    <w:rsid w:val="00A611AD"/>
    <w:rsid w:val="00A73EAD"/>
    <w:rsid w:val="00A85B35"/>
    <w:rsid w:val="00A87E9E"/>
    <w:rsid w:val="00A9161C"/>
    <w:rsid w:val="00A965F2"/>
    <w:rsid w:val="00AA177C"/>
    <w:rsid w:val="00AA3222"/>
    <w:rsid w:val="00AC6F55"/>
    <w:rsid w:val="00AD46DE"/>
    <w:rsid w:val="00AE18F5"/>
    <w:rsid w:val="00AF7DE9"/>
    <w:rsid w:val="00B0715B"/>
    <w:rsid w:val="00B0740C"/>
    <w:rsid w:val="00B1641B"/>
    <w:rsid w:val="00B172BF"/>
    <w:rsid w:val="00B17C72"/>
    <w:rsid w:val="00B34679"/>
    <w:rsid w:val="00B417FB"/>
    <w:rsid w:val="00B45215"/>
    <w:rsid w:val="00B62E4F"/>
    <w:rsid w:val="00B67E00"/>
    <w:rsid w:val="00BB2E8D"/>
    <w:rsid w:val="00BC266F"/>
    <w:rsid w:val="00BD2CA4"/>
    <w:rsid w:val="00C55841"/>
    <w:rsid w:val="00C66BF4"/>
    <w:rsid w:val="00C67447"/>
    <w:rsid w:val="00C86B33"/>
    <w:rsid w:val="00C974B8"/>
    <w:rsid w:val="00CA4B6A"/>
    <w:rsid w:val="00CA5B05"/>
    <w:rsid w:val="00CC123D"/>
    <w:rsid w:val="00CD3C2E"/>
    <w:rsid w:val="00CF7F7F"/>
    <w:rsid w:val="00D07DDA"/>
    <w:rsid w:val="00D117FD"/>
    <w:rsid w:val="00D41563"/>
    <w:rsid w:val="00D5297D"/>
    <w:rsid w:val="00D65A07"/>
    <w:rsid w:val="00D72F76"/>
    <w:rsid w:val="00D84F5C"/>
    <w:rsid w:val="00D851B9"/>
    <w:rsid w:val="00D87F11"/>
    <w:rsid w:val="00D916F8"/>
    <w:rsid w:val="00DB0D6E"/>
    <w:rsid w:val="00DC1F88"/>
    <w:rsid w:val="00DC490F"/>
    <w:rsid w:val="00DF5A6D"/>
    <w:rsid w:val="00E3545E"/>
    <w:rsid w:val="00E56F4A"/>
    <w:rsid w:val="00E73511"/>
    <w:rsid w:val="00E90649"/>
    <w:rsid w:val="00EA3A21"/>
    <w:rsid w:val="00EF4910"/>
    <w:rsid w:val="00F05F25"/>
    <w:rsid w:val="00F12B62"/>
    <w:rsid w:val="00F23ABF"/>
    <w:rsid w:val="00F27B89"/>
    <w:rsid w:val="00F3402C"/>
    <w:rsid w:val="00F42223"/>
    <w:rsid w:val="00F64A87"/>
    <w:rsid w:val="00F77DDF"/>
    <w:rsid w:val="00F923E0"/>
    <w:rsid w:val="00FA1CC8"/>
    <w:rsid w:val="00FB5E97"/>
    <w:rsid w:val="00FC25B9"/>
    <w:rsid w:val="00FD3B6C"/>
    <w:rsid w:val="00FE403E"/>
    <w:rsid w:val="00FE5F7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76C73E"/>
  <w15:docId w15:val="{4EBF53B4-AD25-481B-8C1A-6000F106C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unhideWhenUsed="1"/>
    <w:lsdException w:name="footer"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1" w:qFormat="1"/>
    <w:lsdException w:name="List Number" w:qFormat="1"/>
    <w:lsdException w:name="List 2" w:semiHidden="1"/>
    <w:lsdException w:name="List 3" w:semiHidden="1"/>
    <w:lsdException w:name="List 4" w:semiHidden="1"/>
    <w:lsdException w:name="List 5" w:semiHidden="1"/>
    <w:lsdException w:name="List Bullet 2" w:unhideWhenUsed="1" w:qFormat="1"/>
    <w:lsdException w:name="List Bullet 3" w:semiHidden="1"/>
    <w:lsdException w:name="List Bullet 4" w:semiHidden="1"/>
    <w:lsdException w:name="List Bullet 5" w:semiHidden="1"/>
    <w:lsdException w:name="List Number 2" w:unhideWhenUsed="1"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563"/>
    <w:pPr>
      <w:spacing w:after="130" w:line="260" w:lineRule="atLeast"/>
    </w:pPr>
  </w:style>
  <w:style w:type="paragraph" w:styleId="Heading1">
    <w:name w:val="heading 1"/>
    <w:basedOn w:val="Normal"/>
    <w:next w:val="Normal"/>
    <w:link w:val="Heading1Char"/>
    <w:uiPriority w:val="9"/>
    <w:qFormat/>
    <w:rsid w:val="000C5B60"/>
    <w:pPr>
      <w:keepNext/>
      <w:keepLines/>
      <w:spacing w:after="400" w:line="400" w:lineRule="atLeast"/>
      <w:outlineLvl w:val="0"/>
    </w:pPr>
    <w:rPr>
      <w:rFonts w:asciiTheme="majorHAnsi" w:eastAsiaTheme="majorEastAsia" w:hAnsiTheme="majorHAnsi" w:cstheme="majorBidi"/>
      <w:bCs/>
      <w:color w:val="F1B434" w:themeColor="text2"/>
      <w:sz w:val="48"/>
      <w:szCs w:val="28"/>
    </w:rPr>
  </w:style>
  <w:style w:type="paragraph" w:styleId="Heading2">
    <w:name w:val="heading 2"/>
    <w:basedOn w:val="Normal"/>
    <w:next w:val="Normal"/>
    <w:link w:val="Heading2Char"/>
    <w:uiPriority w:val="9"/>
    <w:qFormat/>
    <w:rsid w:val="002E416B"/>
    <w:pPr>
      <w:keepNext/>
      <w:keepLines/>
      <w:outlineLvl w:val="1"/>
    </w:pPr>
    <w:rPr>
      <w:rFonts w:eastAsiaTheme="majorEastAsia"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E97"/>
    <w:rPr>
      <w:rFonts w:asciiTheme="majorHAnsi" w:eastAsiaTheme="majorEastAsia" w:hAnsiTheme="majorHAnsi" w:cstheme="majorBidi"/>
      <w:bCs/>
      <w:color w:val="F1B434" w:themeColor="text2"/>
      <w:sz w:val="48"/>
      <w:szCs w:val="28"/>
    </w:rPr>
  </w:style>
  <w:style w:type="character" w:customStyle="1" w:styleId="Heading2Char">
    <w:name w:val="Heading 2 Char"/>
    <w:basedOn w:val="DefaultParagraphFont"/>
    <w:link w:val="Heading2"/>
    <w:uiPriority w:val="9"/>
    <w:rsid w:val="00FB5E97"/>
    <w:rPr>
      <w:rFonts w:eastAsiaTheme="majorEastAsia" w:cstheme="majorBidi"/>
      <w:b/>
      <w:bCs/>
      <w:color w:val="000000" w:themeColor="text1"/>
      <w:sz w:val="24"/>
      <w:szCs w:val="26"/>
    </w:rPr>
  </w:style>
  <w:style w:type="paragraph" w:customStyle="1" w:styleId="Documenttitle">
    <w:name w:val="Document title"/>
    <w:basedOn w:val="Normal"/>
    <w:next w:val="Documentsubtitle"/>
    <w:qFormat/>
    <w:rsid w:val="00EF4910"/>
    <w:pPr>
      <w:spacing w:before="120" w:after="480" w:line="880" w:lineRule="exact"/>
      <w:ind w:left="851" w:right="454"/>
    </w:pPr>
    <w:rPr>
      <w:rFonts w:asciiTheme="majorHAnsi" w:hAnsiTheme="majorHAnsi"/>
      <w:color w:val="FFFFFF" w:themeColor="background1"/>
      <w:sz w:val="84"/>
    </w:rPr>
  </w:style>
  <w:style w:type="paragraph" w:styleId="Header">
    <w:name w:val="header"/>
    <w:basedOn w:val="Normal"/>
    <w:link w:val="HeaderChar"/>
    <w:uiPriority w:val="99"/>
    <w:rsid w:val="00311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E97"/>
    <w:rPr>
      <w:rFonts w:ascii="Calibri Light" w:hAnsi="Calibri Light"/>
    </w:rPr>
  </w:style>
  <w:style w:type="paragraph" w:styleId="Footer">
    <w:name w:val="footer"/>
    <w:basedOn w:val="Normal"/>
    <w:link w:val="FooterChar"/>
    <w:uiPriority w:val="99"/>
    <w:rsid w:val="00A17F86"/>
    <w:pPr>
      <w:tabs>
        <w:tab w:val="center" w:pos="4513"/>
        <w:tab w:val="right" w:pos="9026"/>
      </w:tabs>
      <w:spacing w:after="0" w:line="180" w:lineRule="exact"/>
    </w:pPr>
    <w:rPr>
      <w:sz w:val="18"/>
    </w:rPr>
  </w:style>
  <w:style w:type="character" w:customStyle="1" w:styleId="FooterChar">
    <w:name w:val="Footer Char"/>
    <w:basedOn w:val="DefaultParagraphFont"/>
    <w:link w:val="Footer"/>
    <w:uiPriority w:val="99"/>
    <w:rsid w:val="00A17F86"/>
    <w:rPr>
      <w:sz w:val="18"/>
    </w:rPr>
  </w:style>
  <w:style w:type="table" w:styleId="TableGrid">
    <w:name w:val="Table Grid"/>
    <w:basedOn w:val="TableNormal"/>
    <w:uiPriority w:val="59"/>
    <w:rsid w:val="0031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subtitle">
    <w:name w:val="Document subtitle"/>
    <w:basedOn w:val="Documenttitle"/>
    <w:next w:val="Documentstatus"/>
    <w:qFormat/>
    <w:rsid w:val="00896BF2"/>
    <w:pPr>
      <w:spacing w:line="400" w:lineRule="atLeast"/>
    </w:pPr>
    <w:rPr>
      <w:rFonts w:asciiTheme="minorHAnsi" w:hAnsiTheme="minorHAnsi"/>
      <w:sz w:val="40"/>
    </w:rPr>
  </w:style>
  <w:style w:type="paragraph" w:styleId="BalloonText">
    <w:name w:val="Balloon Text"/>
    <w:basedOn w:val="Normal"/>
    <w:link w:val="BalloonTextChar"/>
    <w:uiPriority w:val="99"/>
    <w:semiHidden/>
    <w:rsid w:val="009B3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E97"/>
    <w:rPr>
      <w:rFonts w:ascii="Tahoma" w:hAnsi="Tahoma" w:cs="Tahoma"/>
      <w:sz w:val="16"/>
      <w:szCs w:val="16"/>
    </w:rPr>
  </w:style>
  <w:style w:type="paragraph" w:customStyle="1" w:styleId="Introductiontext">
    <w:name w:val="Introduction text"/>
    <w:basedOn w:val="Heading1"/>
    <w:next w:val="Normal"/>
    <w:qFormat/>
    <w:rsid w:val="009C0A07"/>
    <w:pPr>
      <w:spacing w:line="340" w:lineRule="atLeast"/>
    </w:pPr>
    <w:rPr>
      <w:rFonts w:asciiTheme="minorHAnsi" w:hAnsiTheme="minorHAnsi"/>
      <w:color w:val="auto"/>
      <w:sz w:val="30"/>
    </w:rPr>
  </w:style>
  <w:style w:type="paragraph" w:customStyle="1" w:styleId="Questionheading">
    <w:name w:val="Question heading"/>
    <w:basedOn w:val="Normal"/>
    <w:next w:val="Responseintroductiontext"/>
    <w:qFormat/>
    <w:rsid w:val="000C5B60"/>
    <w:rPr>
      <w:rFonts w:asciiTheme="majorHAnsi" w:hAnsiTheme="majorHAnsi"/>
      <w:color w:val="F1B434" w:themeColor="text2"/>
      <w:sz w:val="28"/>
    </w:rPr>
  </w:style>
  <w:style w:type="paragraph" w:customStyle="1" w:styleId="Quotetext">
    <w:name w:val="Quote text"/>
    <w:basedOn w:val="Normal"/>
    <w:next w:val="Quotesource"/>
    <w:qFormat/>
    <w:rsid w:val="002E416B"/>
    <w:pPr>
      <w:spacing w:after="0" w:line="360" w:lineRule="atLeast"/>
    </w:pPr>
    <w:rPr>
      <w:b/>
      <w:color w:val="969B9D" w:themeColor="background2" w:themeTint="99"/>
      <w:sz w:val="34"/>
    </w:rPr>
  </w:style>
  <w:style w:type="paragraph" w:customStyle="1" w:styleId="Quotesource">
    <w:name w:val="Quote source"/>
    <w:basedOn w:val="Quotetext"/>
    <w:next w:val="Normal"/>
    <w:qFormat/>
    <w:rsid w:val="00752222"/>
    <w:pPr>
      <w:spacing w:after="130" w:line="300" w:lineRule="atLeast"/>
    </w:pPr>
    <w:rPr>
      <w:sz w:val="20"/>
    </w:rPr>
  </w:style>
  <w:style w:type="paragraph" w:customStyle="1" w:styleId="Contactdetails">
    <w:name w:val="Contact details"/>
    <w:basedOn w:val="Normal"/>
    <w:qFormat/>
    <w:rsid w:val="002E416B"/>
    <w:pPr>
      <w:spacing w:after="0" w:line="280" w:lineRule="atLeast"/>
      <w:ind w:left="567"/>
    </w:pPr>
    <w:rPr>
      <w:color w:val="FFFFFF" w:themeColor="background1"/>
      <w:sz w:val="24"/>
    </w:rPr>
  </w:style>
  <w:style w:type="paragraph" w:customStyle="1" w:styleId="Addressdetails">
    <w:name w:val="Address details"/>
    <w:basedOn w:val="Contactdetails"/>
    <w:qFormat/>
    <w:rsid w:val="002E416B"/>
    <w:pPr>
      <w:spacing w:line="220" w:lineRule="atLeast"/>
    </w:pPr>
    <w:rPr>
      <w:sz w:val="20"/>
    </w:rPr>
  </w:style>
  <w:style w:type="paragraph" w:styleId="ListBullet">
    <w:name w:val="List Bullet"/>
    <w:basedOn w:val="Normal"/>
    <w:uiPriority w:val="99"/>
    <w:qFormat/>
    <w:rsid w:val="00946398"/>
    <w:pPr>
      <w:numPr>
        <w:numId w:val="1"/>
      </w:numPr>
      <w:contextualSpacing/>
    </w:pPr>
  </w:style>
  <w:style w:type="paragraph" w:styleId="ListBullet2">
    <w:name w:val="List Bullet 2"/>
    <w:basedOn w:val="Normal"/>
    <w:uiPriority w:val="99"/>
    <w:qFormat/>
    <w:rsid w:val="0022292C"/>
    <w:pPr>
      <w:numPr>
        <w:numId w:val="2"/>
      </w:numPr>
      <w:contextualSpacing/>
    </w:pPr>
  </w:style>
  <w:style w:type="paragraph" w:styleId="ListNumber">
    <w:name w:val="List Number"/>
    <w:basedOn w:val="Normal"/>
    <w:uiPriority w:val="99"/>
    <w:qFormat/>
    <w:rsid w:val="00946398"/>
    <w:pPr>
      <w:numPr>
        <w:numId w:val="3"/>
      </w:numPr>
      <w:contextualSpacing/>
    </w:pPr>
  </w:style>
  <w:style w:type="paragraph" w:styleId="ListNumber2">
    <w:name w:val="List Number 2"/>
    <w:basedOn w:val="Normal"/>
    <w:uiPriority w:val="99"/>
    <w:qFormat/>
    <w:rsid w:val="00946398"/>
    <w:pPr>
      <w:numPr>
        <w:numId w:val="4"/>
      </w:numPr>
      <w:contextualSpacing/>
    </w:pPr>
  </w:style>
  <w:style w:type="paragraph" w:customStyle="1" w:styleId="Documentstatus">
    <w:name w:val="Document status"/>
    <w:basedOn w:val="Documentsubtitle"/>
    <w:next w:val="Documentdate"/>
    <w:qFormat/>
    <w:rsid w:val="00BD2CA4"/>
    <w:pPr>
      <w:spacing w:before="0" w:after="0" w:line="340" w:lineRule="atLeast"/>
    </w:pPr>
    <w:rPr>
      <w:sz w:val="30"/>
    </w:rPr>
  </w:style>
  <w:style w:type="paragraph" w:customStyle="1" w:styleId="Documentdate">
    <w:name w:val="Document date"/>
    <w:basedOn w:val="Documentstatus"/>
    <w:next w:val="Normal"/>
    <w:qFormat/>
    <w:rsid w:val="00B0715B"/>
  </w:style>
  <w:style w:type="paragraph" w:customStyle="1" w:styleId="Responseintroductiontext">
    <w:name w:val="Response introduction text"/>
    <w:basedOn w:val="Normal"/>
    <w:next w:val="Normal"/>
    <w:qFormat/>
    <w:rsid w:val="00100022"/>
  </w:style>
  <w:style w:type="paragraph" w:customStyle="1" w:styleId="Numberedparagraph">
    <w:name w:val="Numbered paragraph"/>
    <w:basedOn w:val="Normal"/>
    <w:qFormat/>
    <w:rsid w:val="0022292C"/>
    <w:pPr>
      <w:numPr>
        <w:numId w:val="5"/>
      </w:numPr>
      <w:ind w:left="340" w:hanging="340"/>
    </w:pPr>
  </w:style>
  <w:style w:type="paragraph" w:customStyle="1" w:styleId="Numbering-Alpha">
    <w:name w:val="Numbering - Alpha"/>
    <w:basedOn w:val="Normal"/>
    <w:qFormat/>
    <w:rsid w:val="009606C4"/>
    <w:pPr>
      <w:numPr>
        <w:numId w:val="6"/>
      </w:numPr>
      <w:ind w:left="680" w:hanging="340"/>
    </w:pPr>
  </w:style>
  <w:style w:type="paragraph" w:customStyle="1" w:styleId="Numbering-Roman">
    <w:name w:val="Numbering - Roman"/>
    <w:basedOn w:val="Normal"/>
    <w:qFormat/>
    <w:rsid w:val="009606C4"/>
    <w:pPr>
      <w:numPr>
        <w:numId w:val="7"/>
      </w:numPr>
      <w:ind w:left="1020" w:hanging="340"/>
    </w:pPr>
  </w:style>
  <w:style w:type="paragraph" w:customStyle="1" w:styleId="Paragraphheading">
    <w:name w:val="Paragraph heading"/>
    <w:basedOn w:val="Normal"/>
    <w:next w:val="Numberedparagraph"/>
    <w:qFormat/>
    <w:rsid w:val="00564083"/>
    <w:rPr>
      <w:b/>
    </w:rPr>
  </w:style>
  <w:style w:type="paragraph" w:styleId="NormalWeb">
    <w:name w:val="Normal (Web)"/>
    <w:basedOn w:val="Normal"/>
    <w:uiPriority w:val="99"/>
    <w:semiHidden/>
    <w:unhideWhenUsed/>
    <w:rsid w:val="003053B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rsid w:val="006C162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C162F"/>
    <w:rPr>
      <w:sz w:val="20"/>
      <w:szCs w:val="20"/>
    </w:rPr>
  </w:style>
  <w:style w:type="character" w:styleId="EndnoteReference">
    <w:name w:val="endnote reference"/>
    <w:basedOn w:val="DefaultParagraphFont"/>
    <w:uiPriority w:val="99"/>
    <w:semiHidden/>
    <w:rsid w:val="006C162F"/>
    <w:rPr>
      <w:vertAlign w:val="superscript"/>
    </w:rPr>
  </w:style>
  <w:style w:type="paragraph" w:styleId="ListParagraph">
    <w:name w:val="List Paragraph"/>
    <w:basedOn w:val="Normal"/>
    <w:uiPriority w:val="34"/>
    <w:semiHidden/>
    <w:qFormat/>
    <w:rsid w:val="00510764"/>
    <w:pPr>
      <w:ind w:left="720"/>
      <w:contextualSpacing/>
    </w:pPr>
  </w:style>
  <w:style w:type="character" w:styleId="Hyperlink">
    <w:name w:val="Hyperlink"/>
    <w:basedOn w:val="DefaultParagraphFont"/>
    <w:uiPriority w:val="99"/>
    <w:semiHidden/>
    <w:rsid w:val="003D43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7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itsprotocol.org/"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image" Target="media/image2.tmp"/></Relationships>
</file>

<file path=word/_rels/settings.xml.rels><?xml version="1.0" encoding="UTF-8" standalone="yes"?>
<Relationships xmlns="http://schemas.openxmlformats.org/package/2006/relationships"><Relationship Id="rId1" Type="http://schemas.openxmlformats.org/officeDocument/2006/relationships/attachedTemplate" Target="file:///\\SERV06\BSA_TEMPLATES\BSA_Responses%201%20column%20template.dotm" TargetMode="External"/></Relationships>
</file>

<file path=word/theme/theme1.xml><?xml version="1.0" encoding="utf-8"?>
<a:theme xmlns:a="http://schemas.openxmlformats.org/drawingml/2006/main" name="BSAResYellow">
  <a:themeElements>
    <a:clrScheme name="BSA Colours - Yellow">
      <a:dk1>
        <a:sysClr val="windowText" lastClr="000000"/>
      </a:dk1>
      <a:lt1>
        <a:sysClr val="window" lastClr="FFFFFF"/>
      </a:lt1>
      <a:dk2>
        <a:srgbClr val="F1B434"/>
      </a:dk2>
      <a:lt2>
        <a:srgbClr val="54585A"/>
      </a:lt2>
      <a:accent1>
        <a:srgbClr val="003594"/>
      </a:accent1>
      <a:accent2>
        <a:srgbClr val="F1B434"/>
      </a:accent2>
      <a:accent3>
        <a:srgbClr val="64A70B"/>
      </a:accent3>
      <a:accent4>
        <a:srgbClr val="54585A"/>
      </a:accent4>
      <a:accent5>
        <a:srgbClr val="0091DA"/>
      </a:accent5>
      <a:accent6>
        <a:srgbClr val="DC582A"/>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CD168-8003-41FB-8DCE-55EC45C9C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BSA_Responses 1 column template.dotm</Template>
  <TotalTime>0</TotalTime>
  <Pages>7</Pages>
  <Words>1807</Words>
  <Characters>10304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Operandi Limited</Company>
  <LinksUpToDate>false</LinksUpToDate>
  <CharactersWithSpaces>12087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Thickett</dc:creator>
  <cp:keywords/>
  <dc:description/>
  <cp:lastModifiedBy>Robert Thickett</cp:lastModifiedBy>
  <cp:revision>3</cp:revision>
  <dcterms:created xsi:type="dcterms:W3CDTF">2020-10-01T16:26:00Z</dcterms:created>
  <dcterms:modified xsi:type="dcterms:W3CDTF">2020-10-01T16:26:00Z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C:\Users\Jim Hanika\AppData\Roaming\Microsoft\Templates\Document Themes\Theme Colors\BSA Colours - Green.xml 011</vt:lpwstr>
  </property>
</Properties>
</file>